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0DB2A" w14:textId="77777777" w:rsidR="00477809" w:rsidRDefault="00477809">
      <w:pPr>
        <w:widowControl w:val="0"/>
        <w:pBdr>
          <w:top w:val="nil"/>
          <w:left w:val="nil"/>
          <w:bottom w:val="nil"/>
          <w:right w:val="nil"/>
          <w:between w:val="nil"/>
        </w:pBdr>
        <w:spacing w:after="0" w:line="276" w:lineRule="auto"/>
        <w:rPr>
          <w:color w:val="000000"/>
        </w:rPr>
      </w:pPr>
    </w:p>
    <w:tbl>
      <w:tblPr>
        <w:tblStyle w:val="a"/>
        <w:tblW w:w="90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2"/>
      </w:tblGrid>
      <w:tr w:rsidR="00477809" w:rsidRPr="00276F01" w14:paraId="052AD932" w14:textId="77777777">
        <w:trPr>
          <w:trHeight w:val="406"/>
        </w:trPr>
        <w:tc>
          <w:tcPr>
            <w:tcW w:w="2263" w:type="dxa"/>
            <w:shd w:val="clear" w:color="auto" w:fill="FF6D25"/>
          </w:tcPr>
          <w:p w14:paraId="5924B9CA" w14:textId="77777777" w:rsidR="00477809" w:rsidRDefault="007E65A6">
            <w:pPr>
              <w:spacing w:before="60" w:after="60" w:line="276" w:lineRule="auto"/>
              <w:rPr>
                <w:color w:val="FFFFFF"/>
              </w:rPr>
            </w:pPr>
            <w:r>
              <w:rPr>
                <w:b/>
                <w:bCs/>
                <w:color w:val="FFFFFF"/>
              </w:rPr>
              <w:t xml:space="preserve">Titel </w:t>
            </w:r>
            <w:r>
              <w:rPr>
                <w:b/>
                <w:bCs/>
                <w:color w:val="FFFFFF"/>
              </w:rPr>
              <w:br/>
              <w:t>Lerneinheit</w:t>
            </w:r>
            <w:r>
              <w:rPr>
                <w:color w:val="FFFFFF"/>
              </w:rPr>
              <w:t xml:space="preserve"> </w:t>
            </w:r>
          </w:p>
        </w:tc>
        <w:tc>
          <w:tcPr>
            <w:tcW w:w="6752" w:type="dxa"/>
            <w:vAlign w:val="center"/>
          </w:tcPr>
          <w:p w14:paraId="70F86AEC" w14:textId="77777777" w:rsidR="00477809" w:rsidRPr="00276F01" w:rsidRDefault="007E65A6">
            <w:pPr>
              <w:pStyle w:val="berschrift1"/>
              <w:spacing w:line="276" w:lineRule="auto"/>
              <w:jc w:val="center"/>
              <w:rPr>
                <w:rFonts w:ascii="Arial" w:eastAsia="Arial" w:hAnsi="Arial" w:cs="Arial"/>
                <w:sz w:val="22"/>
                <w:szCs w:val="22"/>
                <w:lang w:val="de-AT"/>
              </w:rPr>
            </w:pPr>
            <w:r w:rsidRPr="00276F01">
              <w:rPr>
                <w:rFonts w:ascii="Arial" w:eastAsia="Arial" w:hAnsi="Arial" w:cs="Arial"/>
                <w:b/>
                <w:bCs/>
                <w:sz w:val="22"/>
                <w:szCs w:val="22"/>
                <w:lang w:val="de-AT"/>
              </w:rPr>
              <w:t>Monitoring – Indikatoren und Instrumente (Tag 1, 2 und 3)</w:t>
            </w:r>
          </w:p>
        </w:tc>
      </w:tr>
      <w:tr w:rsidR="00477809" w14:paraId="073952EF" w14:textId="77777777">
        <w:trPr>
          <w:trHeight w:val="426"/>
        </w:trPr>
        <w:tc>
          <w:tcPr>
            <w:tcW w:w="2263" w:type="dxa"/>
            <w:shd w:val="clear" w:color="auto" w:fill="F2F2F2"/>
          </w:tcPr>
          <w:p w14:paraId="57DB1793" w14:textId="77777777" w:rsidR="00477809" w:rsidRDefault="007E65A6">
            <w:pPr>
              <w:spacing w:before="60" w:after="60" w:line="276" w:lineRule="auto"/>
              <w:rPr>
                <w:b/>
                <w:bCs/>
              </w:rPr>
            </w:pPr>
            <w:r>
              <w:rPr>
                <w:b/>
                <w:bCs/>
              </w:rPr>
              <w:t xml:space="preserve">Dauer der Aktivität </w:t>
            </w:r>
          </w:p>
        </w:tc>
        <w:tc>
          <w:tcPr>
            <w:tcW w:w="6752" w:type="dxa"/>
            <w:vAlign w:val="center"/>
          </w:tcPr>
          <w:p w14:paraId="0B243607" w14:textId="77777777" w:rsidR="00477809" w:rsidRDefault="007E65A6">
            <w:pPr>
              <w:spacing w:line="276" w:lineRule="auto"/>
            </w:pPr>
            <w:r>
              <w:t xml:space="preserve">45 Minuten </w:t>
            </w:r>
          </w:p>
        </w:tc>
      </w:tr>
      <w:tr w:rsidR="00477809" w:rsidRPr="00276F01" w14:paraId="1DC09BB1" w14:textId="77777777">
        <w:trPr>
          <w:trHeight w:val="426"/>
        </w:trPr>
        <w:tc>
          <w:tcPr>
            <w:tcW w:w="2263" w:type="dxa"/>
            <w:shd w:val="clear" w:color="auto" w:fill="F2F2F2"/>
          </w:tcPr>
          <w:p w14:paraId="3D2F4AA1" w14:textId="77777777" w:rsidR="00477809" w:rsidRDefault="007E65A6">
            <w:pPr>
              <w:spacing w:before="60" w:after="60" w:line="276" w:lineRule="auto"/>
              <w:rPr>
                <w:b/>
                <w:bCs/>
              </w:rPr>
            </w:pPr>
            <w:r>
              <w:rPr>
                <w:b/>
                <w:bCs/>
              </w:rPr>
              <w:t>Lernergebnisse</w:t>
            </w:r>
          </w:p>
        </w:tc>
        <w:tc>
          <w:tcPr>
            <w:tcW w:w="6752" w:type="dxa"/>
          </w:tcPr>
          <w:p w14:paraId="5A4ED7FB" w14:textId="77777777" w:rsidR="00477809" w:rsidRPr="00276F01" w:rsidRDefault="007E65A6">
            <w:pPr>
              <w:spacing w:line="276" w:lineRule="auto"/>
              <w:rPr>
                <w:color w:val="000000"/>
                <w:lang w:val="de-AT"/>
              </w:rPr>
            </w:pPr>
            <w:r w:rsidRPr="00276F01">
              <w:rPr>
                <w:b/>
                <w:bCs/>
                <w:lang w:val="de-AT"/>
              </w:rPr>
              <w:t>Nach Abschluss dieser Aktivität</w:t>
            </w:r>
            <w:r w:rsidRPr="00276F01">
              <w:rPr>
                <w:b/>
                <w:bCs/>
                <w:lang w:val="de-AT"/>
              </w:rPr>
              <w:br/>
              <w:t>werden die Lernenden in der Lage sein:</w:t>
            </w:r>
            <w:r w:rsidRPr="00276F01">
              <w:rPr>
                <w:lang w:val="de-AT"/>
              </w:rPr>
              <w:br/>
              <w:t>● die Bedeutung des Monitorings ausgewählter Strategien zu verstehen, um die weibliche Vollzeitbeschäftigung, die Bedingungen für ältere Arbeitnehmende, Migration und Vielfalt sowie die Höherqualifizierung von gering qualifizierten Arbeitskräften im eigenen Unternehmen zu verbessern.</w:t>
            </w:r>
            <w:r w:rsidRPr="00276F01">
              <w:rPr>
                <w:lang w:val="de-AT"/>
              </w:rPr>
              <w:br/>
            </w:r>
            <w:r w:rsidRPr="00276F01">
              <w:rPr>
                <w:lang w:val="de-AT"/>
              </w:rPr>
              <w:t>● relevante Indikatoren zu identifizieren, um den Erfolg und die Leistung der festgelegten Strategien zur Verbesserung der Möglichkeiten auf den definierten Handlungsebenen (4) zu verfolgen.</w:t>
            </w:r>
            <w:r w:rsidRPr="00276F01">
              <w:rPr>
                <w:lang w:val="de-AT"/>
              </w:rPr>
              <w:br/>
              <w:t>● einfache Instrumente zur Überwachung des Erfolgs von Strategien und Aktivitäten zu erkunden.</w:t>
            </w:r>
            <w:r w:rsidRPr="00276F01">
              <w:rPr>
                <w:lang w:val="de-AT"/>
              </w:rPr>
              <w:br/>
              <w:t>● einfache Instrumente und Methoden für das Erfolgs- und Leistungsmonitoring sowie für die Abweichungsanalyse und die Überprüfung der Indikatorerreichung anzuwenden.</w:t>
            </w:r>
          </w:p>
        </w:tc>
      </w:tr>
      <w:tr w:rsidR="00477809" w:rsidRPr="00276F01" w14:paraId="1447BD70" w14:textId="77777777">
        <w:tc>
          <w:tcPr>
            <w:tcW w:w="2263" w:type="dxa"/>
            <w:shd w:val="clear" w:color="auto" w:fill="F2F2F2"/>
          </w:tcPr>
          <w:p w14:paraId="0121912C" w14:textId="77777777" w:rsidR="00477809" w:rsidRDefault="007E65A6">
            <w:pPr>
              <w:spacing w:before="60" w:after="60" w:line="276" w:lineRule="auto"/>
              <w:rPr>
                <w:b/>
                <w:bCs/>
              </w:rPr>
            </w:pPr>
            <w:r>
              <w:rPr>
                <w:b/>
                <w:bCs/>
              </w:rPr>
              <w:t>Art der Aktivität</w:t>
            </w:r>
          </w:p>
        </w:tc>
        <w:tc>
          <w:tcPr>
            <w:tcW w:w="6752" w:type="dxa"/>
          </w:tcPr>
          <w:p w14:paraId="7FCAFD7A" w14:textId="77777777" w:rsidR="00477809" w:rsidRDefault="007E65A6">
            <w:pPr>
              <w:numPr>
                <w:ilvl w:val="0"/>
                <w:numId w:val="2"/>
              </w:numPr>
              <w:spacing w:after="0" w:line="276" w:lineRule="auto"/>
            </w:pPr>
            <w:r>
              <w:t>Vortrag</w:t>
            </w:r>
          </w:p>
          <w:p w14:paraId="296B2FE1" w14:textId="77777777" w:rsidR="00477809" w:rsidRDefault="007E65A6">
            <w:pPr>
              <w:numPr>
                <w:ilvl w:val="0"/>
                <w:numId w:val="2"/>
              </w:numPr>
              <w:spacing w:after="0" w:line="276" w:lineRule="auto"/>
            </w:pPr>
            <w:r>
              <w:t>Diskussion</w:t>
            </w:r>
          </w:p>
          <w:p w14:paraId="101881D0" w14:textId="77777777" w:rsidR="00477809" w:rsidRDefault="007E65A6">
            <w:pPr>
              <w:numPr>
                <w:ilvl w:val="0"/>
                <w:numId w:val="2"/>
              </w:numPr>
              <w:spacing w:after="0" w:line="276" w:lineRule="auto"/>
            </w:pPr>
            <w:r>
              <w:t>Gruppenaktivität</w:t>
            </w:r>
          </w:p>
          <w:p w14:paraId="1738CF73" w14:textId="77777777" w:rsidR="00477809" w:rsidRDefault="007E65A6">
            <w:pPr>
              <w:numPr>
                <w:ilvl w:val="0"/>
                <w:numId w:val="2"/>
              </w:numPr>
              <w:spacing w:after="0" w:line="276" w:lineRule="auto"/>
            </w:pPr>
            <w:r>
              <w:t>Einzelaktivität</w:t>
            </w:r>
          </w:p>
          <w:p w14:paraId="797B1BCE" w14:textId="77777777" w:rsidR="00477809" w:rsidRDefault="007E65A6">
            <w:pPr>
              <w:numPr>
                <w:ilvl w:val="0"/>
                <w:numId w:val="2"/>
              </w:numPr>
              <w:spacing w:after="0" w:line="276" w:lineRule="auto"/>
            </w:pPr>
            <w:r>
              <w:t>Selbstgesteuertes Lernen</w:t>
            </w:r>
          </w:p>
          <w:p w14:paraId="02E6B469" w14:textId="77777777" w:rsidR="00477809" w:rsidRDefault="007E65A6">
            <w:pPr>
              <w:numPr>
                <w:ilvl w:val="0"/>
                <w:numId w:val="2"/>
              </w:numPr>
              <w:spacing w:after="0" w:line="276" w:lineRule="auto"/>
            </w:pPr>
            <w:r>
              <w:t>Sonstiges:</w:t>
            </w:r>
          </w:p>
          <w:p w14:paraId="67A3DC4F" w14:textId="77777777" w:rsidR="00477809" w:rsidRPr="00276F01" w:rsidRDefault="007E65A6">
            <w:pPr>
              <w:spacing w:line="276" w:lineRule="auto"/>
              <w:rPr>
                <w:i/>
                <w:iCs/>
                <w:lang w:val="de-AT"/>
              </w:rPr>
            </w:pPr>
            <w:r w:rsidRPr="00276F01">
              <w:rPr>
                <w:i/>
                <w:iCs/>
                <w:lang w:val="de-AT"/>
              </w:rPr>
              <w:t>Wählen Sie selbst eine bevorzugte Methode (z.B. WoldCafe)</w:t>
            </w:r>
          </w:p>
        </w:tc>
      </w:tr>
      <w:tr w:rsidR="00477809" w14:paraId="4DE29363" w14:textId="77777777">
        <w:tc>
          <w:tcPr>
            <w:tcW w:w="2263" w:type="dxa"/>
            <w:shd w:val="clear" w:color="auto" w:fill="F2F2F2"/>
          </w:tcPr>
          <w:p w14:paraId="1F3B2A09" w14:textId="77777777" w:rsidR="00477809" w:rsidRDefault="007E65A6">
            <w:pPr>
              <w:spacing w:before="60" w:after="60" w:line="276" w:lineRule="auto"/>
              <w:rPr>
                <w:b/>
                <w:bCs/>
              </w:rPr>
            </w:pPr>
            <w:r>
              <w:rPr>
                <w:b/>
                <w:bCs/>
              </w:rPr>
              <w:t>Ressourcen</w:t>
            </w:r>
          </w:p>
        </w:tc>
        <w:tc>
          <w:tcPr>
            <w:tcW w:w="6752" w:type="dxa"/>
          </w:tcPr>
          <w:p w14:paraId="3BC86586" w14:textId="77777777" w:rsidR="00477809" w:rsidRDefault="007E65A6">
            <w:pPr>
              <w:numPr>
                <w:ilvl w:val="0"/>
                <w:numId w:val="1"/>
              </w:numPr>
              <w:spacing w:after="0" w:line="276" w:lineRule="auto"/>
            </w:pPr>
            <w:r>
              <w:t xml:space="preserve">PowerPoint Präsentation:  </w:t>
            </w:r>
          </w:p>
          <w:p w14:paraId="11EB9FBF" w14:textId="77777777" w:rsidR="00477809" w:rsidRDefault="007E65A6">
            <w:pPr>
              <w:numPr>
                <w:ilvl w:val="0"/>
                <w:numId w:val="1"/>
              </w:numPr>
              <w:spacing w:after="0" w:line="276" w:lineRule="auto"/>
            </w:pPr>
            <w:r>
              <w:t>PDF / Handout: Monitoring Canvas</w:t>
            </w:r>
          </w:p>
          <w:p w14:paraId="175C229A" w14:textId="77777777" w:rsidR="00477809" w:rsidRDefault="007E65A6">
            <w:pPr>
              <w:numPr>
                <w:ilvl w:val="0"/>
                <w:numId w:val="1"/>
              </w:numPr>
              <w:spacing w:after="0" w:line="276" w:lineRule="auto"/>
            </w:pPr>
            <w:r>
              <w:t>Online Materialien:</w:t>
            </w:r>
          </w:p>
          <w:p w14:paraId="44A83AF9" w14:textId="77777777" w:rsidR="00477809" w:rsidRDefault="007E65A6">
            <w:pPr>
              <w:numPr>
                <w:ilvl w:val="0"/>
                <w:numId w:val="1"/>
              </w:numPr>
              <w:spacing w:after="0" w:line="276" w:lineRule="auto"/>
            </w:pPr>
            <w:r>
              <w:t>Flipchart:</w:t>
            </w:r>
          </w:p>
          <w:p w14:paraId="04EB31CF" w14:textId="77777777" w:rsidR="00477809" w:rsidRDefault="007E65A6">
            <w:pPr>
              <w:numPr>
                <w:ilvl w:val="0"/>
                <w:numId w:val="1"/>
              </w:numPr>
              <w:spacing w:after="0" w:line="276" w:lineRule="auto"/>
            </w:pPr>
            <w:r>
              <w:t>Andere:</w:t>
            </w:r>
          </w:p>
        </w:tc>
      </w:tr>
      <w:tr w:rsidR="00477809" w14:paraId="792D5515" w14:textId="77777777">
        <w:tc>
          <w:tcPr>
            <w:tcW w:w="2263" w:type="dxa"/>
            <w:shd w:val="clear" w:color="auto" w:fill="F2F2F2"/>
          </w:tcPr>
          <w:p w14:paraId="083D17DB" w14:textId="77777777" w:rsidR="00477809" w:rsidRDefault="007E65A6">
            <w:pPr>
              <w:spacing w:before="60" w:after="60" w:line="276" w:lineRule="auto"/>
              <w:rPr>
                <w:b/>
                <w:bCs/>
              </w:rPr>
            </w:pPr>
            <w:r>
              <w:rPr>
                <w:b/>
                <w:bCs/>
              </w:rPr>
              <w:t>Organisatorische Anforderungen</w:t>
            </w:r>
          </w:p>
        </w:tc>
        <w:tc>
          <w:tcPr>
            <w:tcW w:w="6752" w:type="dxa"/>
          </w:tcPr>
          <w:p w14:paraId="2AC8ECB3" w14:textId="77777777" w:rsidR="00477809" w:rsidRDefault="007E65A6">
            <w:pPr>
              <w:numPr>
                <w:ilvl w:val="0"/>
                <w:numId w:val="3"/>
              </w:numPr>
              <w:pBdr>
                <w:top w:val="nil"/>
                <w:left w:val="nil"/>
                <w:bottom w:val="nil"/>
                <w:right w:val="nil"/>
                <w:between w:val="nil"/>
              </w:pBdr>
              <w:spacing w:after="0" w:line="276" w:lineRule="auto"/>
              <w:rPr>
                <w:color w:val="000000"/>
              </w:rPr>
            </w:pPr>
            <w:r>
              <w:t>Projektor oder Medienboard</w:t>
            </w:r>
          </w:p>
        </w:tc>
      </w:tr>
      <w:tr w:rsidR="00477809" w:rsidRPr="00276F01" w14:paraId="1E4AC226" w14:textId="77777777">
        <w:trPr>
          <w:trHeight w:val="1597"/>
        </w:trPr>
        <w:tc>
          <w:tcPr>
            <w:tcW w:w="2263" w:type="dxa"/>
            <w:shd w:val="clear" w:color="auto" w:fill="F2F2F2"/>
          </w:tcPr>
          <w:p w14:paraId="5B260076" w14:textId="77777777" w:rsidR="00477809" w:rsidRDefault="007E65A6">
            <w:pPr>
              <w:spacing w:before="60" w:after="60" w:line="276" w:lineRule="auto"/>
            </w:pPr>
            <w:r>
              <w:rPr>
                <w:b/>
                <w:bCs/>
              </w:rPr>
              <w:t>Beschreibung der Aktivität</w:t>
            </w:r>
            <w:r>
              <w:t xml:space="preserve"> </w:t>
            </w:r>
          </w:p>
        </w:tc>
        <w:tc>
          <w:tcPr>
            <w:tcW w:w="6752" w:type="dxa"/>
          </w:tcPr>
          <w:p w14:paraId="5BEC9631" w14:textId="77777777" w:rsidR="00477809" w:rsidRPr="00276F01" w:rsidRDefault="007E65A6">
            <w:pPr>
              <w:spacing w:line="276" w:lineRule="auto"/>
              <w:rPr>
                <w:lang w:val="de-AT"/>
              </w:rPr>
            </w:pPr>
            <w:r w:rsidRPr="00276F01">
              <w:rPr>
                <w:lang w:val="de-AT"/>
              </w:rPr>
              <w:t>In dieser Einheit werden die Teilnehmenden in einige (ca. 3–4) einfache Methoden zur Erfolgs- und Lernerfolgskontrolle eingeführt. Nach der Präsentation der Methoden und möglicher Anwendungsbereiche – insbesondere für das Strategie- und Leistungsmonitoring innerhalb der Handlungsebenen weibliche Vollzeitbeschäftigung, Bedingungen für ältere Arbeitnehmende, Migration und Vielfalt sowie Höherqualifizierung von gering qualifizierten Arbeitskräften – beginnen die Teilnehmenden mit der Planung ihrer eigenen Moni</w:t>
            </w:r>
            <w:r w:rsidRPr="00276F01">
              <w:rPr>
                <w:lang w:val="de-AT"/>
              </w:rPr>
              <w:t xml:space="preserve">toring-Aktivitäten für das eigene Unternehmen. Dabei wird ein „Monitoring Canvas“ eingeführt, das einen einfachen Überblick über Monitoring-Aktivitäten, Zeitrahmen, aufgetretene Abweichungen sowie geplante und umgesetzte </w:t>
            </w:r>
            <w:r w:rsidRPr="00276F01">
              <w:rPr>
                <w:lang w:val="de-AT"/>
              </w:rPr>
              <w:lastRenderedPageBreak/>
              <w:t>Anpassungsmaßnahmen ermöglicht. Bei den Monitoring-Einheiten an Tag 2 und 3 verschiebt sich der thematische Fokus auf Maßnahmen für eine verstärkte und längere Beschäftigung älterer Arbeitnehmender, Migrations- und Diversitätsmanagement sowie die Qualifizierung von gering qualifizierten Arb</w:t>
            </w:r>
            <w:r w:rsidRPr="00276F01">
              <w:rPr>
                <w:lang w:val="de-AT"/>
              </w:rPr>
              <w:t>eitskräften im Unternehmen; die eingeführten und angewandten Methoden (einschließlich des Monitoring Canvas) bleiben jedoch dieselben.</w:t>
            </w:r>
          </w:p>
        </w:tc>
      </w:tr>
      <w:tr w:rsidR="00477809" w:rsidRPr="00276F01" w14:paraId="69A82BE2" w14:textId="77777777">
        <w:trPr>
          <w:trHeight w:val="1954"/>
        </w:trPr>
        <w:tc>
          <w:tcPr>
            <w:tcW w:w="2263" w:type="dxa"/>
            <w:shd w:val="clear" w:color="auto" w:fill="F2F2F2"/>
          </w:tcPr>
          <w:p w14:paraId="3506F84F" w14:textId="77777777" w:rsidR="00477809" w:rsidRDefault="007E65A6">
            <w:pPr>
              <w:spacing w:before="60" w:after="60" w:line="276" w:lineRule="auto"/>
              <w:rPr>
                <w:b/>
                <w:bCs/>
              </w:rPr>
            </w:pPr>
            <w:r>
              <w:rPr>
                <w:b/>
                <w:bCs/>
              </w:rPr>
              <w:lastRenderedPageBreak/>
              <w:t>Trainernotizen</w:t>
            </w:r>
          </w:p>
        </w:tc>
        <w:tc>
          <w:tcPr>
            <w:tcW w:w="6752" w:type="dxa"/>
          </w:tcPr>
          <w:p w14:paraId="6770B3A2" w14:textId="77777777" w:rsidR="00477809" w:rsidRPr="00276F01" w:rsidRDefault="007E65A6">
            <w:pPr>
              <w:numPr>
                <w:ilvl w:val="0"/>
                <w:numId w:val="3"/>
              </w:numPr>
              <w:pBdr>
                <w:top w:val="nil"/>
                <w:left w:val="nil"/>
                <w:bottom w:val="nil"/>
                <w:right w:val="nil"/>
                <w:between w:val="nil"/>
              </w:pBdr>
              <w:spacing w:after="0" w:line="276" w:lineRule="auto"/>
              <w:rPr>
                <w:lang w:val="de-AT"/>
              </w:rPr>
            </w:pPr>
            <w:r w:rsidRPr="00276F01">
              <w:rPr>
                <w:lang w:val="de-AT"/>
              </w:rPr>
              <w:t>Es ist wichtig, maximal 2–4 Methoden für das Monitoring und die Identifizierung von Abweichungen auszuwählen.</w:t>
            </w:r>
            <w:r w:rsidRPr="00276F01">
              <w:rPr>
                <w:lang w:val="de-AT"/>
              </w:rPr>
              <w:br/>
              <w:t>● Die Methoden müssen für die Zielgruppe Schritt für Schritt eingeführt werden.</w:t>
            </w:r>
            <w:r w:rsidRPr="00276F01">
              <w:rPr>
                <w:lang w:val="de-AT"/>
              </w:rPr>
              <w:br/>
              <w:t>● Nach einer allgemeinen Einführung sollen die Teilnehmenden die Methoden an den Monitoring-Bedarf ihres eigenen Unternehmens in Bezug auf die 4 Zielebenen des ELEVATE-Projekts anpassen.</w:t>
            </w:r>
            <w:r w:rsidRPr="00276F01">
              <w:rPr>
                <w:lang w:val="de-AT"/>
              </w:rPr>
              <w:br/>
            </w:r>
            <w:r w:rsidRPr="00276F01">
              <w:rPr>
                <w:lang w:val="de-AT"/>
              </w:rPr>
              <w:t>● Die gesamte Monitoring-Strategie, der Zeitrahmen, die Methoden usw. sollten anschließend in einem Monitoring Canvas zusammengefasst werden, das die Teilnehmenden zur weiteren Nutzung mit nach Hause nehmen.</w:t>
            </w:r>
          </w:p>
        </w:tc>
      </w:tr>
      <w:tr w:rsidR="00477809" w14:paraId="010CD57E" w14:textId="77777777">
        <w:trPr>
          <w:trHeight w:val="416"/>
        </w:trPr>
        <w:tc>
          <w:tcPr>
            <w:tcW w:w="2263" w:type="dxa"/>
            <w:shd w:val="clear" w:color="auto" w:fill="F2F2F2"/>
          </w:tcPr>
          <w:p w14:paraId="73A87BBA" w14:textId="77777777" w:rsidR="00477809" w:rsidRDefault="007E65A6">
            <w:pPr>
              <w:spacing w:before="60" w:after="60" w:line="276" w:lineRule="auto"/>
              <w:rPr>
                <w:b/>
                <w:bCs/>
              </w:rPr>
            </w:pPr>
            <w:r>
              <w:rPr>
                <w:b/>
                <w:bCs/>
              </w:rPr>
              <w:t>Quellen/ Weiterführende Literatur</w:t>
            </w:r>
          </w:p>
        </w:tc>
        <w:tc>
          <w:tcPr>
            <w:tcW w:w="6752" w:type="dxa"/>
          </w:tcPr>
          <w:p w14:paraId="219F8DBA" w14:textId="77777777" w:rsidR="00477809" w:rsidRDefault="00477809">
            <w:pPr>
              <w:pBdr>
                <w:top w:val="nil"/>
                <w:left w:val="nil"/>
                <w:bottom w:val="nil"/>
                <w:right w:val="nil"/>
                <w:between w:val="nil"/>
              </w:pBdr>
              <w:spacing w:after="0" w:line="276" w:lineRule="auto"/>
              <w:ind w:left="720"/>
              <w:rPr>
                <w:color w:val="000000"/>
              </w:rPr>
            </w:pPr>
          </w:p>
        </w:tc>
      </w:tr>
      <w:tr w:rsidR="00477809" w:rsidRPr="00276F01" w14:paraId="384A1CD9" w14:textId="77777777">
        <w:trPr>
          <w:trHeight w:val="416"/>
        </w:trPr>
        <w:tc>
          <w:tcPr>
            <w:tcW w:w="2263" w:type="dxa"/>
            <w:shd w:val="clear" w:color="auto" w:fill="F2F2F2"/>
          </w:tcPr>
          <w:p w14:paraId="6466E9BC" w14:textId="77777777" w:rsidR="00477809" w:rsidRDefault="007E65A6">
            <w:pPr>
              <w:spacing w:before="60" w:after="60" w:line="276" w:lineRule="auto"/>
              <w:rPr>
                <w:b/>
                <w:bCs/>
              </w:rPr>
            </w:pPr>
            <w:r>
              <w:rPr>
                <w:b/>
                <w:bCs/>
              </w:rPr>
              <w:t>Dateien</w:t>
            </w:r>
          </w:p>
        </w:tc>
        <w:tc>
          <w:tcPr>
            <w:tcW w:w="6752" w:type="dxa"/>
          </w:tcPr>
          <w:p w14:paraId="5B21BC85" w14:textId="4255F082" w:rsidR="00477809" w:rsidRPr="00276F01" w:rsidRDefault="00276F01">
            <w:pPr>
              <w:pBdr>
                <w:top w:val="nil"/>
                <w:left w:val="nil"/>
                <w:bottom w:val="nil"/>
                <w:right w:val="nil"/>
                <w:between w:val="nil"/>
              </w:pBdr>
              <w:spacing w:line="276" w:lineRule="auto"/>
              <w:rPr>
                <w:color w:val="000000"/>
                <w:lang w:val="de-AT"/>
              </w:rPr>
            </w:pPr>
            <w:r w:rsidRPr="00276F01">
              <w:rPr>
                <w:color w:val="000000"/>
                <w:lang w:val="de-AT"/>
              </w:rPr>
              <w:t xml:space="preserve">ELEVATE_Unit </w:t>
            </w:r>
            <w:r>
              <w:rPr>
                <w:color w:val="000000"/>
                <w:lang w:val="de-AT"/>
              </w:rPr>
              <w:t>7</w:t>
            </w:r>
            <w:r w:rsidRPr="00276F01">
              <w:rPr>
                <w:color w:val="000000"/>
                <w:lang w:val="de-AT"/>
              </w:rPr>
              <w:t>_DE.pptx</w:t>
            </w:r>
          </w:p>
        </w:tc>
      </w:tr>
    </w:tbl>
    <w:p w14:paraId="0E418534" w14:textId="77777777" w:rsidR="00477809" w:rsidRPr="00276F01" w:rsidRDefault="00477809">
      <w:pPr>
        <w:rPr>
          <w:lang w:val="de-AT"/>
        </w:rPr>
      </w:pPr>
    </w:p>
    <w:sectPr w:rsidR="00477809" w:rsidRPr="00276F01">
      <w:footerReference w:type="default" r:id="rId7"/>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9EE72" w14:textId="77777777" w:rsidR="007E65A6" w:rsidRDefault="007E65A6">
      <w:pPr>
        <w:spacing w:after="0" w:line="240" w:lineRule="auto"/>
      </w:pPr>
      <w:r>
        <w:separator/>
      </w:r>
    </w:p>
  </w:endnote>
  <w:endnote w:type="continuationSeparator" w:id="0">
    <w:p w14:paraId="5D89EB64" w14:textId="77777777" w:rsidR="007E65A6" w:rsidRDefault="007E6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CDBF861-ED25-45F6-9CD1-4A7E2D90D42A}"/>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2" w:fontKey="{9C3BF42F-A174-45C6-8D9B-B4127A130F01}"/>
  </w:font>
  <w:font w:name="Cambria">
    <w:panose1 w:val="02040503050406030204"/>
    <w:charset w:val="00"/>
    <w:family w:val="roman"/>
    <w:pitch w:val="variable"/>
    <w:sig w:usb0="E00006FF" w:usb1="420024FF" w:usb2="02000000" w:usb3="00000000" w:csb0="0000019F" w:csb1="00000000"/>
    <w:embedRegular r:id="rId3" w:fontKey="{1B6E3BAD-A62A-499A-88F3-57FE7C7028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CD8F" w14:textId="77777777" w:rsidR="00477809" w:rsidRDefault="007E65A6">
    <w:pPr>
      <w:pBdr>
        <w:top w:val="nil"/>
        <w:left w:val="nil"/>
        <w:bottom w:val="nil"/>
        <w:right w:val="nil"/>
        <w:between w:val="nil"/>
      </w:pBdr>
      <w:tabs>
        <w:tab w:val="center" w:pos="4536"/>
        <w:tab w:val="right" w:pos="9072"/>
      </w:tabs>
      <w:spacing w:after="0" w:line="240" w:lineRule="auto"/>
      <w:rPr>
        <w:color w:val="000000"/>
      </w:rPr>
    </w:pPr>
    <w:r>
      <w:rPr>
        <w:noProof/>
      </w:rPr>
      <w:drawing>
        <wp:anchor distT="114300" distB="114300" distL="114300" distR="114300" simplePos="0" relativeHeight="251658240" behindDoc="0" locked="0" layoutInCell="1" hidden="0" allowOverlap="1" wp14:anchorId="70ACB076" wp14:editId="2BFA8EA9">
          <wp:simplePos x="0" y="0"/>
          <wp:positionH relativeFrom="column">
            <wp:posOffset>-925031</wp:posOffset>
          </wp:positionH>
          <wp:positionV relativeFrom="paragraph">
            <wp:posOffset>4432</wp:posOffset>
          </wp:positionV>
          <wp:extent cx="7613301" cy="599641"/>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13301" cy="59964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BADE" w14:textId="77777777" w:rsidR="007E65A6" w:rsidRDefault="007E65A6">
      <w:pPr>
        <w:spacing w:after="0" w:line="240" w:lineRule="auto"/>
      </w:pPr>
      <w:r>
        <w:separator/>
      </w:r>
    </w:p>
  </w:footnote>
  <w:footnote w:type="continuationSeparator" w:id="0">
    <w:p w14:paraId="6C2B6D8F" w14:textId="77777777" w:rsidR="007E65A6" w:rsidRDefault="007E65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B3B34"/>
    <w:multiLevelType w:val="multilevel"/>
    <w:tmpl w:val="10EA2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F42605"/>
    <w:multiLevelType w:val="multilevel"/>
    <w:tmpl w:val="6F3CC8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4D668F"/>
    <w:multiLevelType w:val="multilevel"/>
    <w:tmpl w:val="B4046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68890450">
    <w:abstractNumId w:val="0"/>
  </w:num>
  <w:num w:numId="2" w16cid:durableId="1066218861">
    <w:abstractNumId w:val="2"/>
  </w:num>
  <w:num w:numId="3" w16cid:durableId="1392844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809"/>
    <w:rsid w:val="00276F01"/>
    <w:rsid w:val="00477809"/>
    <w:rsid w:val="00523980"/>
    <w:rsid w:val="007E65A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82C95"/>
  <w15:docId w15:val="{6FEA3326-7F89-4956-92B4-CC6022910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de-AT"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360" w:after="80"/>
      <w:outlineLvl w:val="0"/>
    </w:pPr>
    <w:rPr>
      <w:rFonts w:ascii="Calibri" w:eastAsia="Calibri" w:hAnsi="Calibri" w:cs="Calibri"/>
      <w:color w:val="2F5496"/>
      <w:sz w:val="40"/>
      <w:szCs w:val="40"/>
    </w:rPr>
  </w:style>
  <w:style w:type="paragraph" w:styleId="berschrift2">
    <w:name w:val="heading 2"/>
    <w:basedOn w:val="Standard"/>
    <w:next w:val="Standard"/>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berschrift3">
    <w:name w:val="heading 3"/>
    <w:basedOn w:val="Standard"/>
    <w:next w:val="Standard"/>
    <w:uiPriority w:val="9"/>
    <w:semiHidden/>
    <w:unhideWhenUsed/>
    <w:qFormat/>
    <w:pPr>
      <w:keepNext/>
      <w:keepLines/>
      <w:spacing w:before="160" w:after="80"/>
      <w:outlineLvl w:val="2"/>
    </w:pPr>
    <w:rPr>
      <w:color w:val="2F5496"/>
      <w:sz w:val="28"/>
      <w:szCs w:val="28"/>
    </w:rPr>
  </w:style>
  <w:style w:type="paragraph" w:styleId="berschrift4">
    <w:name w:val="heading 4"/>
    <w:basedOn w:val="Standard"/>
    <w:next w:val="Standard"/>
    <w:uiPriority w:val="9"/>
    <w:semiHidden/>
    <w:unhideWhenUsed/>
    <w:qFormat/>
    <w:pPr>
      <w:keepNext/>
      <w:keepLines/>
      <w:spacing w:before="80" w:after="40"/>
      <w:outlineLvl w:val="3"/>
    </w:pPr>
    <w:rPr>
      <w:i/>
      <w:iCs/>
      <w:color w:val="2F5496"/>
    </w:rPr>
  </w:style>
  <w:style w:type="paragraph" w:styleId="berschrift5">
    <w:name w:val="heading 5"/>
    <w:basedOn w:val="Standard"/>
    <w:next w:val="Standard"/>
    <w:uiPriority w:val="9"/>
    <w:semiHidden/>
    <w:unhideWhenUsed/>
    <w:qFormat/>
    <w:pPr>
      <w:keepNext/>
      <w:keepLines/>
      <w:spacing w:before="80" w:after="40"/>
      <w:outlineLvl w:val="4"/>
    </w:pPr>
    <w:rPr>
      <w:color w:val="2F5496"/>
    </w:rPr>
  </w:style>
  <w:style w:type="paragraph" w:styleId="berschrift6">
    <w:name w:val="heading 6"/>
    <w:basedOn w:val="Standard"/>
    <w:next w:val="Standard"/>
    <w:uiPriority w:val="9"/>
    <w:semiHidden/>
    <w:unhideWhenUsed/>
    <w:qFormat/>
    <w:pPr>
      <w:keepNext/>
      <w:keepLines/>
      <w:spacing w:before="40" w:after="0"/>
      <w:outlineLvl w:val="5"/>
    </w:pPr>
    <w:rPr>
      <w:i/>
      <w:iCs/>
      <w:color w:val="59595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spacing w:after="80" w:line="240" w:lineRule="auto"/>
    </w:pPr>
    <w:rPr>
      <w:rFonts w:ascii="Calibri" w:eastAsia="Calibri" w:hAnsi="Calibri" w:cs="Calibri"/>
      <w:sz w:val="56"/>
      <w:szCs w:val="56"/>
    </w:rPr>
  </w:style>
  <w:style w:type="paragraph" w:styleId="Untertitel">
    <w:name w:val="Subtitle"/>
    <w:basedOn w:val="Standard"/>
    <w:next w:val="Standard"/>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2703</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Dominika Stiger</cp:lastModifiedBy>
  <cp:revision>2</cp:revision>
  <dcterms:created xsi:type="dcterms:W3CDTF">2026-09-22T13:59:00Z</dcterms:created>
  <dcterms:modified xsi:type="dcterms:W3CDTF">2026-09-22T13:59:00Z</dcterms:modified>
</cp:coreProperties>
</file>