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ADD" w14:textId="77777777" w:rsidR="009940C0" w:rsidRDefault="009940C0">
      <w:pPr>
        <w:widowControl w:val="0"/>
        <w:pBdr>
          <w:top w:val="nil"/>
          <w:left w:val="nil"/>
          <w:bottom w:val="nil"/>
          <w:right w:val="nil"/>
          <w:between w:val="nil"/>
        </w:pBdr>
        <w:spacing w:after="0" w:line="276" w:lineRule="auto"/>
        <w:rPr>
          <w:color w:val="000000"/>
        </w:rPr>
      </w:pPr>
    </w:p>
    <w:tbl>
      <w:tblPr>
        <w:tblStyle w:val="a"/>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0"/>
        <w:gridCol w:w="6885"/>
      </w:tblGrid>
      <w:tr w:rsidR="009940C0" w14:paraId="2FC1773D" w14:textId="77777777" w:rsidTr="009940C0">
        <w:trPr>
          <w:trHeight w:val="701"/>
        </w:trPr>
        <w:tc>
          <w:tcPr>
            <w:tcW w:w="2130" w:type="dxa"/>
            <w:shd w:val="clear" w:color="auto" w:fill="FF6D25"/>
          </w:tcPr>
          <w:p w14:paraId="08DD943E" w14:textId="77777777" w:rsidR="009940C0" w:rsidRDefault="00586621">
            <w:pPr>
              <w:pStyle w:val="berschrift1"/>
              <w:spacing w:before="60" w:after="60" w:line="276" w:lineRule="auto"/>
              <w:outlineLvl w:val="0"/>
              <w:rPr>
                <w:rFonts w:ascii="Arial" w:eastAsia="Arial" w:hAnsi="Arial" w:cs="Arial"/>
                <w:color w:val="FFFFFF"/>
                <w:sz w:val="21"/>
                <w:szCs w:val="21"/>
              </w:rPr>
            </w:pPr>
            <w:r>
              <w:rPr>
                <w:rFonts w:ascii="Arial" w:eastAsia="Arial" w:hAnsi="Arial" w:cs="Arial"/>
                <w:color w:val="FFFFFF"/>
                <w:sz w:val="21"/>
                <w:szCs w:val="21"/>
              </w:rPr>
              <w:t>Titel</w:t>
            </w:r>
            <w:r>
              <w:rPr>
                <w:rFonts w:ascii="Arial" w:eastAsia="Arial" w:hAnsi="Arial" w:cs="Arial"/>
                <w:color w:val="FFFFFF"/>
                <w:sz w:val="21"/>
                <w:szCs w:val="21"/>
              </w:rPr>
              <w:br/>
              <w:t>Lerneinheit</w:t>
            </w:r>
          </w:p>
        </w:tc>
        <w:tc>
          <w:tcPr>
            <w:tcW w:w="6885" w:type="dxa"/>
            <w:vAlign w:val="center"/>
          </w:tcPr>
          <w:p w14:paraId="378CCDD7" w14:textId="77777777" w:rsidR="009940C0" w:rsidRDefault="00586621">
            <w:pPr>
              <w:pStyle w:val="berschrift1"/>
              <w:spacing w:line="276" w:lineRule="auto"/>
              <w:outlineLvl w:val="0"/>
              <w:rPr>
                <w:rFonts w:ascii="Arial" w:eastAsia="Arial" w:hAnsi="Arial" w:cs="Arial"/>
                <w:sz w:val="21"/>
                <w:szCs w:val="21"/>
              </w:rPr>
            </w:pPr>
            <w:r>
              <w:rPr>
                <w:sz w:val="21"/>
                <w:szCs w:val="21"/>
              </w:rPr>
              <w:t>Allgemeine Informationen zur Frauenbeschäftigung,</w:t>
            </w:r>
            <w:r>
              <w:rPr>
                <w:sz w:val="21"/>
                <w:szCs w:val="21"/>
              </w:rPr>
              <w:br/>
              <w:t>Best Practices, Management- &amp; Führungsansätze.</w:t>
            </w:r>
          </w:p>
        </w:tc>
      </w:tr>
      <w:tr w:rsidR="009940C0" w14:paraId="73919CFF" w14:textId="77777777" w:rsidTr="009940C0">
        <w:trPr>
          <w:trHeight w:val="426"/>
        </w:trPr>
        <w:tc>
          <w:tcPr>
            <w:tcW w:w="2130" w:type="dxa"/>
            <w:shd w:val="clear" w:color="auto" w:fill="F2F2F2"/>
          </w:tcPr>
          <w:p w14:paraId="2C08399A" w14:textId="77777777" w:rsidR="009940C0" w:rsidRDefault="00586621">
            <w:pPr>
              <w:spacing w:before="60" w:after="60" w:line="276" w:lineRule="auto"/>
              <w:rPr>
                <w:rFonts w:ascii="Arial" w:eastAsia="Arial" w:hAnsi="Arial" w:cs="Arial"/>
                <w:b/>
                <w:bCs/>
                <w:sz w:val="21"/>
                <w:szCs w:val="21"/>
              </w:rPr>
            </w:pPr>
            <w:r>
              <w:rPr>
                <w:rFonts w:ascii="Arial" w:eastAsia="Arial" w:hAnsi="Arial" w:cs="Arial"/>
                <w:b/>
                <w:bCs/>
                <w:sz w:val="21"/>
                <w:szCs w:val="21"/>
              </w:rPr>
              <w:t xml:space="preserve">Dauer der Aktivität </w:t>
            </w:r>
          </w:p>
        </w:tc>
        <w:tc>
          <w:tcPr>
            <w:tcW w:w="6885" w:type="dxa"/>
            <w:vAlign w:val="center"/>
          </w:tcPr>
          <w:p w14:paraId="529685A3" w14:textId="77777777" w:rsidR="009940C0" w:rsidRDefault="00586621">
            <w:pPr>
              <w:spacing w:line="276" w:lineRule="auto"/>
              <w:rPr>
                <w:rFonts w:ascii="Arial" w:eastAsia="Arial" w:hAnsi="Arial" w:cs="Arial"/>
                <w:sz w:val="21"/>
                <w:szCs w:val="21"/>
              </w:rPr>
            </w:pPr>
            <w:r>
              <w:rPr>
                <w:rFonts w:ascii="Arial" w:eastAsia="Arial" w:hAnsi="Arial" w:cs="Arial"/>
                <w:sz w:val="21"/>
                <w:szCs w:val="21"/>
              </w:rPr>
              <w:t>45 Minuten</w:t>
            </w:r>
          </w:p>
        </w:tc>
      </w:tr>
      <w:tr w:rsidR="009940C0" w14:paraId="5C3CE4FC" w14:textId="77777777" w:rsidTr="009940C0">
        <w:trPr>
          <w:trHeight w:val="426"/>
        </w:trPr>
        <w:tc>
          <w:tcPr>
            <w:tcW w:w="2130" w:type="dxa"/>
            <w:shd w:val="clear" w:color="auto" w:fill="F2F2F2"/>
          </w:tcPr>
          <w:p w14:paraId="3440DA39" w14:textId="77777777" w:rsidR="009940C0" w:rsidRDefault="00586621">
            <w:pPr>
              <w:spacing w:before="60" w:after="60" w:line="276" w:lineRule="auto"/>
              <w:rPr>
                <w:rFonts w:ascii="Arial" w:eastAsia="Arial" w:hAnsi="Arial" w:cs="Arial"/>
                <w:b/>
                <w:bCs/>
                <w:sz w:val="21"/>
                <w:szCs w:val="21"/>
              </w:rPr>
            </w:pPr>
            <w:r>
              <w:rPr>
                <w:rFonts w:ascii="Arial" w:eastAsia="Arial" w:hAnsi="Arial" w:cs="Arial"/>
                <w:b/>
                <w:bCs/>
                <w:sz w:val="21"/>
                <w:szCs w:val="21"/>
              </w:rPr>
              <w:t>Lernergebnisse</w:t>
            </w:r>
          </w:p>
        </w:tc>
        <w:tc>
          <w:tcPr>
            <w:tcW w:w="6885" w:type="dxa"/>
          </w:tcPr>
          <w:p w14:paraId="370092A7" w14:textId="77777777" w:rsidR="009940C0" w:rsidRDefault="00586621">
            <w:pPr>
              <w:spacing w:line="276" w:lineRule="auto"/>
              <w:rPr>
                <w:rFonts w:ascii="Arial" w:eastAsia="Arial" w:hAnsi="Arial" w:cs="Arial"/>
                <w:sz w:val="21"/>
                <w:szCs w:val="21"/>
              </w:rPr>
            </w:pPr>
            <w:r>
              <w:rPr>
                <w:rFonts w:ascii="Arial" w:eastAsia="Arial" w:hAnsi="Arial" w:cs="Arial"/>
                <w:sz w:val="21"/>
                <w:szCs w:val="21"/>
              </w:rPr>
              <w:t>Nach Abschluss dieser Aktivität wird der Lernende in der Lage sein:</w:t>
            </w:r>
          </w:p>
          <w:p w14:paraId="2C06D142" w14:textId="77777777" w:rsidR="009940C0" w:rsidRDefault="00586621">
            <w:pPr>
              <w:numPr>
                <w:ilvl w:val="0"/>
                <w:numId w:val="3"/>
              </w:numPr>
              <w:pBdr>
                <w:top w:val="nil"/>
                <w:left w:val="nil"/>
                <w:bottom w:val="nil"/>
                <w:right w:val="nil"/>
                <w:between w:val="nil"/>
              </w:pBdr>
              <w:spacing w:line="276" w:lineRule="auto"/>
              <w:ind w:left="445"/>
              <w:rPr>
                <w:color w:val="000000"/>
                <w:sz w:val="21"/>
                <w:szCs w:val="21"/>
              </w:rPr>
            </w:pPr>
            <w:r>
              <w:rPr>
                <w:rFonts w:ascii="Calibri" w:eastAsia="Calibri" w:hAnsi="Calibri" w:cs="Calibri"/>
                <w:color w:val="000000"/>
                <w:sz w:val="21"/>
                <w:szCs w:val="21"/>
              </w:rPr>
              <w:t>Die wirtschaftliche und soziale Relevanz der Frauenbeschäftigung zu verstehen.</w:t>
            </w:r>
          </w:p>
          <w:p w14:paraId="1C969A7C" w14:textId="77777777" w:rsidR="009940C0" w:rsidRDefault="00586621">
            <w:pPr>
              <w:numPr>
                <w:ilvl w:val="0"/>
                <w:numId w:val="3"/>
              </w:numPr>
              <w:pBdr>
                <w:top w:val="nil"/>
                <w:left w:val="nil"/>
                <w:bottom w:val="nil"/>
                <w:right w:val="nil"/>
                <w:between w:val="nil"/>
              </w:pBdr>
              <w:spacing w:line="276" w:lineRule="auto"/>
              <w:ind w:left="445"/>
              <w:rPr>
                <w:color w:val="000000"/>
                <w:sz w:val="21"/>
                <w:szCs w:val="21"/>
              </w:rPr>
            </w:pPr>
            <w:r>
              <w:rPr>
                <w:rFonts w:ascii="Calibri" w:eastAsia="Calibri" w:hAnsi="Calibri" w:cs="Calibri"/>
                <w:color w:val="000000"/>
                <w:sz w:val="21"/>
                <w:szCs w:val="21"/>
              </w:rPr>
              <w:t>Gängige Formen von Diskriminierung und geschlechtsspezifischen Stereotypen am Arbeitsplatz zu erkennen.</w:t>
            </w:r>
          </w:p>
          <w:p w14:paraId="58B141CA" w14:textId="77777777" w:rsidR="009940C0" w:rsidRDefault="00586621">
            <w:pPr>
              <w:numPr>
                <w:ilvl w:val="0"/>
                <w:numId w:val="3"/>
              </w:numPr>
              <w:pBdr>
                <w:top w:val="nil"/>
                <w:left w:val="nil"/>
                <w:bottom w:val="nil"/>
                <w:right w:val="nil"/>
                <w:between w:val="nil"/>
              </w:pBdr>
              <w:spacing w:line="276" w:lineRule="auto"/>
              <w:ind w:left="445"/>
              <w:rPr>
                <w:color w:val="000000"/>
                <w:sz w:val="21"/>
                <w:szCs w:val="21"/>
              </w:rPr>
            </w:pPr>
            <w:r>
              <w:rPr>
                <w:rFonts w:ascii="Calibri" w:eastAsia="Calibri" w:hAnsi="Calibri" w:cs="Calibri"/>
                <w:color w:val="000000"/>
                <w:sz w:val="21"/>
                <w:szCs w:val="21"/>
              </w:rPr>
              <w:t>Verschiedene Führungs- und Managementansätze zu verstehen, die Diversität und Inklusion unterstützen.</w:t>
            </w:r>
          </w:p>
          <w:p w14:paraId="2335CBCF" w14:textId="77777777" w:rsidR="009940C0" w:rsidRDefault="00586621">
            <w:pPr>
              <w:numPr>
                <w:ilvl w:val="0"/>
                <w:numId w:val="3"/>
              </w:numPr>
              <w:pBdr>
                <w:top w:val="nil"/>
                <w:left w:val="nil"/>
                <w:bottom w:val="nil"/>
                <w:right w:val="nil"/>
                <w:between w:val="nil"/>
              </w:pBdr>
              <w:spacing w:line="276" w:lineRule="auto"/>
              <w:ind w:left="445"/>
              <w:rPr>
                <w:color w:val="000000"/>
                <w:sz w:val="21"/>
                <w:szCs w:val="21"/>
              </w:rPr>
            </w:pPr>
            <w:r>
              <w:rPr>
                <w:rFonts w:ascii="Calibri" w:eastAsia="Calibri" w:hAnsi="Calibri" w:cs="Calibri"/>
                <w:color w:val="000000"/>
                <w:sz w:val="21"/>
                <w:szCs w:val="21"/>
              </w:rPr>
              <w:t>Schlüsselelemente für die erfolgreiche Umsetzung von Diversitätsstrategien zu identifizieren.</w:t>
            </w:r>
          </w:p>
          <w:p w14:paraId="61D88D7A" w14:textId="77777777" w:rsidR="009940C0" w:rsidRDefault="00586621">
            <w:pPr>
              <w:numPr>
                <w:ilvl w:val="0"/>
                <w:numId w:val="3"/>
              </w:numPr>
              <w:pBdr>
                <w:top w:val="nil"/>
                <w:left w:val="nil"/>
                <w:bottom w:val="nil"/>
                <w:right w:val="nil"/>
                <w:between w:val="nil"/>
              </w:pBdr>
              <w:spacing w:line="276" w:lineRule="auto"/>
              <w:ind w:left="445"/>
              <w:rPr>
                <w:color w:val="000000"/>
                <w:sz w:val="21"/>
                <w:szCs w:val="21"/>
              </w:rPr>
            </w:pPr>
            <w:r>
              <w:rPr>
                <w:rFonts w:ascii="Calibri" w:eastAsia="Calibri" w:hAnsi="Calibri" w:cs="Calibri"/>
                <w:color w:val="000000"/>
                <w:sz w:val="21"/>
                <w:szCs w:val="21"/>
              </w:rPr>
              <w:t>Best-Practice-Beispiele zu reflektieren und deren Übertragbarkeit auf die eigene Organisation zu bewerten.</w:t>
            </w:r>
          </w:p>
          <w:p w14:paraId="4BB873E3" w14:textId="77777777" w:rsidR="009940C0" w:rsidRDefault="00586621">
            <w:pPr>
              <w:numPr>
                <w:ilvl w:val="0"/>
                <w:numId w:val="3"/>
              </w:numPr>
              <w:pBdr>
                <w:top w:val="nil"/>
                <w:left w:val="nil"/>
                <w:bottom w:val="nil"/>
                <w:right w:val="nil"/>
                <w:between w:val="nil"/>
              </w:pBdr>
              <w:spacing w:line="276" w:lineRule="auto"/>
              <w:ind w:left="445"/>
              <w:rPr>
                <w:color w:val="000000"/>
                <w:sz w:val="21"/>
                <w:szCs w:val="21"/>
              </w:rPr>
            </w:pPr>
            <w:r>
              <w:rPr>
                <w:rFonts w:ascii="Calibri" w:eastAsia="Calibri" w:hAnsi="Calibri" w:cs="Calibri"/>
                <w:color w:val="000000"/>
                <w:sz w:val="21"/>
                <w:szCs w:val="21"/>
              </w:rPr>
              <w:t>An Diskussionen über inklusive Führung und deren praktische Herausforderungen teilzunehmen.</w:t>
            </w:r>
          </w:p>
          <w:p w14:paraId="7E429AE3" w14:textId="77777777" w:rsidR="009940C0" w:rsidRDefault="00586621">
            <w:pPr>
              <w:numPr>
                <w:ilvl w:val="0"/>
                <w:numId w:val="3"/>
              </w:numPr>
              <w:pBdr>
                <w:top w:val="nil"/>
                <w:left w:val="nil"/>
                <w:bottom w:val="nil"/>
                <w:right w:val="nil"/>
                <w:between w:val="nil"/>
              </w:pBdr>
              <w:spacing w:line="276" w:lineRule="auto"/>
              <w:ind w:left="445"/>
              <w:rPr>
                <w:color w:val="000000"/>
                <w:sz w:val="21"/>
                <w:szCs w:val="21"/>
              </w:rPr>
            </w:pPr>
            <w:r>
              <w:rPr>
                <w:rFonts w:ascii="Calibri" w:eastAsia="Calibri" w:hAnsi="Calibri" w:cs="Calibri"/>
                <w:color w:val="000000"/>
                <w:sz w:val="21"/>
                <w:szCs w:val="21"/>
              </w:rPr>
              <w:t xml:space="preserve">Wissen über innovative Ansätze und Pilotinitiativen zu nutzen, um neue Möglichkeiten zu identifizieren und anzuwenden. </w:t>
            </w:r>
          </w:p>
        </w:tc>
      </w:tr>
      <w:tr w:rsidR="009940C0" w14:paraId="7AF11EF9" w14:textId="77777777" w:rsidTr="009940C0">
        <w:tc>
          <w:tcPr>
            <w:tcW w:w="2130" w:type="dxa"/>
            <w:shd w:val="clear" w:color="auto" w:fill="F2F2F2"/>
          </w:tcPr>
          <w:p w14:paraId="27296E64" w14:textId="77777777" w:rsidR="009940C0" w:rsidRDefault="00586621">
            <w:pPr>
              <w:spacing w:before="60" w:after="60" w:line="276" w:lineRule="auto"/>
              <w:rPr>
                <w:rFonts w:ascii="Arial" w:eastAsia="Arial" w:hAnsi="Arial" w:cs="Arial"/>
                <w:b/>
                <w:bCs/>
                <w:sz w:val="21"/>
                <w:szCs w:val="21"/>
              </w:rPr>
            </w:pPr>
            <w:r>
              <w:rPr>
                <w:rFonts w:ascii="Arial" w:eastAsia="Arial" w:hAnsi="Arial" w:cs="Arial"/>
                <w:b/>
                <w:bCs/>
                <w:sz w:val="21"/>
                <w:szCs w:val="21"/>
              </w:rPr>
              <w:t>Art der Aktivität</w:t>
            </w:r>
          </w:p>
        </w:tc>
        <w:tc>
          <w:tcPr>
            <w:tcW w:w="6885" w:type="dxa"/>
          </w:tcPr>
          <w:p w14:paraId="7B7CB9CE" w14:textId="77777777" w:rsidR="009940C0" w:rsidRDefault="00586621">
            <w:pPr>
              <w:spacing w:line="276" w:lineRule="auto"/>
              <w:rPr>
                <w:rFonts w:ascii="Arial" w:eastAsia="Arial" w:hAnsi="Arial" w:cs="Arial"/>
                <w:i/>
                <w:iCs/>
                <w:sz w:val="21"/>
                <w:szCs w:val="21"/>
              </w:rPr>
            </w:pPr>
            <w:r>
              <w:rPr>
                <w:rFonts w:ascii="Arial" w:eastAsia="Arial" w:hAnsi="Arial" w:cs="Arial"/>
                <w:sz w:val="21"/>
                <w:szCs w:val="21"/>
              </w:rPr>
              <w:t>Vortrag mit anschließender Diskussion</w:t>
            </w:r>
          </w:p>
        </w:tc>
      </w:tr>
      <w:tr w:rsidR="009940C0" w14:paraId="6FB4CE0C" w14:textId="77777777" w:rsidTr="009940C0">
        <w:tc>
          <w:tcPr>
            <w:tcW w:w="2130" w:type="dxa"/>
            <w:shd w:val="clear" w:color="auto" w:fill="F2F2F2"/>
          </w:tcPr>
          <w:p w14:paraId="0F3E4280" w14:textId="77777777" w:rsidR="009940C0" w:rsidRDefault="00586621">
            <w:pPr>
              <w:spacing w:before="60" w:after="60" w:line="276" w:lineRule="auto"/>
              <w:rPr>
                <w:rFonts w:ascii="Arial" w:eastAsia="Arial" w:hAnsi="Arial" w:cs="Arial"/>
                <w:b/>
                <w:bCs/>
                <w:sz w:val="21"/>
                <w:szCs w:val="21"/>
              </w:rPr>
            </w:pPr>
            <w:r>
              <w:rPr>
                <w:rFonts w:ascii="Arial" w:eastAsia="Arial" w:hAnsi="Arial" w:cs="Arial"/>
                <w:b/>
                <w:bCs/>
                <w:sz w:val="21"/>
                <w:szCs w:val="21"/>
              </w:rPr>
              <w:t>Ressourcen</w:t>
            </w:r>
          </w:p>
        </w:tc>
        <w:tc>
          <w:tcPr>
            <w:tcW w:w="6885" w:type="dxa"/>
          </w:tcPr>
          <w:p w14:paraId="6289EEB5" w14:textId="77777777" w:rsidR="009940C0" w:rsidRDefault="00586621">
            <w:pPr>
              <w:numPr>
                <w:ilvl w:val="0"/>
                <w:numId w:val="1"/>
              </w:numPr>
              <w:spacing w:line="276" w:lineRule="auto"/>
              <w:rPr>
                <w:rFonts w:ascii="Arial" w:eastAsia="Arial" w:hAnsi="Arial" w:cs="Arial"/>
                <w:sz w:val="21"/>
                <w:szCs w:val="21"/>
              </w:rPr>
            </w:pPr>
            <w:r>
              <w:rPr>
                <w:rFonts w:ascii="Arial" w:eastAsia="Arial" w:hAnsi="Arial" w:cs="Arial"/>
                <w:sz w:val="21"/>
                <w:szCs w:val="21"/>
              </w:rPr>
              <w:t>PowerPoint Präsentation</w:t>
            </w:r>
          </w:p>
          <w:p w14:paraId="60977729" w14:textId="77777777" w:rsidR="009940C0" w:rsidRDefault="00586621">
            <w:pPr>
              <w:numPr>
                <w:ilvl w:val="0"/>
                <w:numId w:val="1"/>
              </w:numPr>
              <w:spacing w:line="276" w:lineRule="auto"/>
              <w:rPr>
                <w:rFonts w:ascii="Arial" w:eastAsia="Arial" w:hAnsi="Arial" w:cs="Arial"/>
                <w:sz w:val="21"/>
                <w:szCs w:val="21"/>
              </w:rPr>
            </w:pPr>
            <w:r>
              <w:rPr>
                <w:rFonts w:ascii="Arial" w:eastAsia="Arial" w:hAnsi="Arial" w:cs="Arial"/>
                <w:sz w:val="21"/>
                <w:szCs w:val="21"/>
              </w:rPr>
              <w:t>PDF / Handout: Agenda</w:t>
            </w:r>
          </w:p>
          <w:p w14:paraId="2DC33ED5" w14:textId="77777777" w:rsidR="009940C0" w:rsidRDefault="00586621">
            <w:pPr>
              <w:numPr>
                <w:ilvl w:val="0"/>
                <w:numId w:val="1"/>
              </w:numPr>
              <w:spacing w:line="276" w:lineRule="auto"/>
              <w:rPr>
                <w:rFonts w:ascii="Arial" w:eastAsia="Arial" w:hAnsi="Arial" w:cs="Arial"/>
                <w:sz w:val="21"/>
                <w:szCs w:val="21"/>
              </w:rPr>
            </w:pPr>
            <w:r>
              <w:rPr>
                <w:rFonts w:ascii="Arial" w:eastAsia="Arial" w:hAnsi="Arial" w:cs="Arial"/>
                <w:sz w:val="21"/>
                <w:szCs w:val="21"/>
              </w:rPr>
              <w:t>Online-Materialien</w:t>
            </w:r>
          </w:p>
          <w:p w14:paraId="364E2A2D" w14:textId="77777777" w:rsidR="009940C0" w:rsidRDefault="00586621">
            <w:pPr>
              <w:numPr>
                <w:ilvl w:val="0"/>
                <w:numId w:val="1"/>
              </w:numPr>
              <w:spacing w:line="276" w:lineRule="auto"/>
              <w:rPr>
                <w:rFonts w:ascii="Arial" w:eastAsia="Arial" w:hAnsi="Arial" w:cs="Arial"/>
                <w:sz w:val="21"/>
                <w:szCs w:val="21"/>
              </w:rPr>
            </w:pPr>
            <w:proofErr w:type="gramStart"/>
            <w:r>
              <w:rPr>
                <w:rFonts w:ascii="Arial" w:eastAsia="Arial" w:hAnsi="Arial" w:cs="Arial"/>
                <w:sz w:val="21"/>
                <w:szCs w:val="21"/>
              </w:rPr>
              <w:t>Flipchart::</w:t>
            </w:r>
            <w:proofErr w:type="gramEnd"/>
          </w:p>
        </w:tc>
      </w:tr>
      <w:tr w:rsidR="009940C0" w14:paraId="4E703DB0" w14:textId="77777777" w:rsidTr="009940C0">
        <w:tc>
          <w:tcPr>
            <w:tcW w:w="2130" w:type="dxa"/>
            <w:shd w:val="clear" w:color="auto" w:fill="F2F2F2"/>
          </w:tcPr>
          <w:p w14:paraId="06518A10" w14:textId="77777777" w:rsidR="009940C0" w:rsidRDefault="00586621">
            <w:pPr>
              <w:spacing w:before="60" w:after="60" w:line="276" w:lineRule="auto"/>
              <w:rPr>
                <w:rFonts w:ascii="Arial" w:eastAsia="Arial" w:hAnsi="Arial" w:cs="Arial"/>
                <w:b/>
                <w:bCs/>
                <w:sz w:val="21"/>
                <w:szCs w:val="21"/>
              </w:rPr>
            </w:pPr>
            <w:r>
              <w:rPr>
                <w:rFonts w:ascii="Arial" w:eastAsia="Arial" w:hAnsi="Arial" w:cs="Arial"/>
                <w:b/>
                <w:bCs/>
                <w:sz w:val="21"/>
                <w:szCs w:val="21"/>
              </w:rPr>
              <w:t>Organisatorische Anforderungen</w:t>
            </w:r>
          </w:p>
        </w:tc>
        <w:tc>
          <w:tcPr>
            <w:tcW w:w="6885" w:type="dxa"/>
          </w:tcPr>
          <w:p w14:paraId="012A4A47" w14:textId="77777777" w:rsidR="009940C0" w:rsidRDefault="00586621">
            <w:pPr>
              <w:spacing w:line="276" w:lineRule="auto"/>
              <w:rPr>
                <w:rFonts w:ascii="Calibri" w:eastAsia="Calibri" w:hAnsi="Calibri" w:cs="Calibri"/>
                <w:sz w:val="21"/>
                <w:szCs w:val="21"/>
              </w:rPr>
            </w:pPr>
            <w:r>
              <w:rPr>
                <w:rFonts w:ascii="Arial" w:eastAsia="Arial" w:hAnsi="Arial" w:cs="Arial"/>
                <w:sz w:val="21"/>
                <w:szCs w:val="21"/>
              </w:rPr>
              <w:t>Projektor oder Medienboard</w:t>
            </w:r>
          </w:p>
        </w:tc>
      </w:tr>
      <w:tr w:rsidR="009940C0" w14:paraId="4F93F6DD" w14:textId="77777777" w:rsidTr="009940C0">
        <w:trPr>
          <w:trHeight w:val="1597"/>
        </w:trPr>
        <w:tc>
          <w:tcPr>
            <w:tcW w:w="2130" w:type="dxa"/>
            <w:shd w:val="clear" w:color="auto" w:fill="F2F2F2"/>
          </w:tcPr>
          <w:p w14:paraId="42FB761C" w14:textId="77777777" w:rsidR="009940C0" w:rsidRDefault="00586621">
            <w:pPr>
              <w:spacing w:before="60" w:after="60" w:line="276" w:lineRule="auto"/>
              <w:rPr>
                <w:rFonts w:ascii="Arial" w:eastAsia="Arial" w:hAnsi="Arial" w:cs="Arial"/>
                <w:b/>
                <w:bCs/>
                <w:sz w:val="21"/>
                <w:szCs w:val="21"/>
              </w:rPr>
            </w:pPr>
            <w:r>
              <w:rPr>
                <w:rFonts w:ascii="Arial" w:eastAsia="Arial" w:hAnsi="Arial" w:cs="Arial"/>
                <w:b/>
                <w:bCs/>
                <w:sz w:val="21"/>
                <w:szCs w:val="21"/>
              </w:rPr>
              <w:t>Beschreibung der Aktivität</w:t>
            </w:r>
          </w:p>
          <w:p w14:paraId="43EEE810" w14:textId="77777777" w:rsidR="009940C0" w:rsidRDefault="009940C0">
            <w:pPr>
              <w:spacing w:before="60" w:after="60" w:line="276" w:lineRule="auto"/>
              <w:rPr>
                <w:rFonts w:ascii="Arial" w:eastAsia="Arial" w:hAnsi="Arial" w:cs="Arial"/>
                <w:sz w:val="21"/>
                <w:szCs w:val="21"/>
              </w:rPr>
            </w:pPr>
          </w:p>
        </w:tc>
        <w:tc>
          <w:tcPr>
            <w:tcW w:w="6885" w:type="dxa"/>
          </w:tcPr>
          <w:p w14:paraId="3F498A20" w14:textId="77777777" w:rsidR="009940C0" w:rsidRDefault="00586621">
            <w:pPr>
              <w:spacing w:before="220" w:after="220"/>
              <w:rPr>
                <w:rFonts w:ascii="Arial" w:eastAsia="Arial" w:hAnsi="Arial" w:cs="Arial"/>
                <w:b/>
                <w:bCs/>
                <w:sz w:val="21"/>
                <w:szCs w:val="21"/>
              </w:rPr>
            </w:pPr>
            <w:r>
              <w:rPr>
                <w:rFonts w:ascii="Arial" w:eastAsia="Arial" w:hAnsi="Arial" w:cs="Arial"/>
                <w:b/>
                <w:bCs/>
                <w:sz w:val="21"/>
                <w:szCs w:val="21"/>
              </w:rPr>
              <w:t>Einleitung</w:t>
            </w:r>
          </w:p>
          <w:p w14:paraId="0344BF13" w14:textId="77777777" w:rsidR="009940C0" w:rsidRDefault="00586621">
            <w:pPr>
              <w:spacing w:before="220" w:after="220"/>
              <w:rPr>
                <w:rFonts w:ascii="Arial" w:eastAsia="Arial" w:hAnsi="Arial" w:cs="Arial"/>
              </w:rPr>
            </w:pPr>
            <w:r>
              <w:rPr>
                <w:rFonts w:ascii="Arial" w:eastAsia="Arial" w:hAnsi="Arial" w:cs="Arial"/>
              </w:rPr>
              <w:t>Die Kursleitung eröffnet die Sitzung mit einem kurzen Überblick über Ziel und Struktur sowie der Festlegung von Grundregeln für einen offenen und respektvollen Dialog. Die Teilnehmenden werden ermutigt, während der gesamten Sitzung über ihren eigenen organisatorischen Kontext nachzudenken. Die Einleitung hebt hervor, warum ein ausgewogenes Geschlechterverhältnis nicht nur eine Frage der Fairness ist, sondern auch ein strategischer Treiber für Innovation, bessere Entscheidungsfindung und die geschäftliche Le</w:t>
            </w:r>
            <w:r>
              <w:rPr>
                <w:rFonts w:ascii="Arial" w:eastAsia="Arial" w:hAnsi="Arial" w:cs="Arial"/>
              </w:rPr>
              <w:t xml:space="preserve">istungsfähigkeit. </w:t>
            </w:r>
            <w:r>
              <w:rPr>
                <w:rFonts w:ascii="Arial" w:eastAsia="Arial" w:hAnsi="Arial" w:cs="Arial"/>
              </w:rPr>
              <w:br/>
            </w:r>
            <w:r>
              <w:rPr>
                <w:rFonts w:ascii="Arial" w:eastAsia="Arial" w:hAnsi="Arial" w:cs="Arial"/>
              </w:rPr>
              <w:br/>
            </w:r>
            <w:r>
              <w:rPr>
                <w:rFonts w:ascii="Arial" w:eastAsia="Arial" w:hAnsi="Arial" w:cs="Arial"/>
                <w:b/>
                <w:bCs/>
              </w:rPr>
              <w:t>Fakten und Herausforderungen</w:t>
            </w:r>
          </w:p>
          <w:p w14:paraId="7F630062" w14:textId="77777777" w:rsidR="009940C0" w:rsidRDefault="00586621">
            <w:pPr>
              <w:spacing w:before="220" w:after="220"/>
              <w:rPr>
                <w:rFonts w:ascii="Arial" w:eastAsia="Arial" w:hAnsi="Arial" w:cs="Arial"/>
              </w:rPr>
            </w:pPr>
            <w:r>
              <w:rPr>
                <w:rFonts w:ascii="Arial" w:eastAsia="Arial" w:hAnsi="Arial" w:cs="Arial"/>
              </w:rPr>
              <w:t xml:space="preserve">Die Sitzung beginnt mit zentralen europäischen Daten zur aktuellen Situation der Frauenbeschäftigung: Unterschiede in den Erwerbsquoten, die Häufigkeit von Teilzeitarbeit bei Frauen, anhaltende Lohnungleichheiten und die Unterrepräsentation von Frauen in Führungspositionen. Diese Erkenntnisse bilden eine gemeinsame Grundlage für die Diskussion. Die Teilnehmenden sind eingeladen zu </w:t>
            </w:r>
            <w:r>
              <w:rPr>
                <w:rFonts w:ascii="Arial" w:eastAsia="Arial" w:hAnsi="Arial" w:cs="Arial"/>
              </w:rPr>
              <w:lastRenderedPageBreak/>
              <w:t>überlegen, welche dieser Muster in ihren eigenen Sektoren oder Organisationen sichtbar sind.</w:t>
            </w:r>
          </w:p>
          <w:p w14:paraId="1412B08F" w14:textId="77777777" w:rsidR="009940C0" w:rsidRDefault="009940C0">
            <w:pPr>
              <w:spacing w:before="220" w:after="220"/>
              <w:rPr>
                <w:rFonts w:ascii="Arial" w:eastAsia="Arial" w:hAnsi="Arial" w:cs="Arial"/>
              </w:rPr>
            </w:pPr>
          </w:p>
          <w:p w14:paraId="2C0C1938" w14:textId="77777777" w:rsidR="009940C0" w:rsidRDefault="009940C0">
            <w:pPr>
              <w:spacing w:before="220" w:after="220"/>
              <w:rPr>
                <w:rFonts w:ascii="Arial" w:eastAsia="Arial" w:hAnsi="Arial" w:cs="Arial"/>
              </w:rPr>
            </w:pPr>
          </w:p>
          <w:p w14:paraId="673046D1" w14:textId="77777777" w:rsidR="009940C0" w:rsidRDefault="00586621">
            <w:pPr>
              <w:spacing w:before="220" w:after="220"/>
              <w:rPr>
                <w:rFonts w:ascii="Arial" w:eastAsia="Arial" w:hAnsi="Arial" w:cs="Arial"/>
                <w:sz w:val="21"/>
                <w:szCs w:val="21"/>
              </w:rPr>
            </w:pPr>
            <w:r>
              <w:rPr>
                <w:rFonts w:ascii="Arial" w:eastAsia="Arial" w:hAnsi="Arial" w:cs="Arial"/>
                <w:b/>
                <w:bCs/>
              </w:rPr>
              <w:t>Herausforderungen am Arbeitsplatz</w:t>
            </w:r>
            <w:r>
              <w:rPr>
                <w:rFonts w:ascii="Arial" w:eastAsia="Arial" w:hAnsi="Arial" w:cs="Arial"/>
                <w:b/>
                <w:bCs/>
              </w:rPr>
              <w:br/>
            </w:r>
            <w:r>
              <w:rPr>
                <w:rFonts w:ascii="Arial" w:eastAsia="Arial" w:hAnsi="Arial" w:cs="Arial"/>
                <w:sz w:val="21"/>
                <w:szCs w:val="21"/>
              </w:rPr>
              <w:t>In diesem Abschnitt werden die strukturellen Barrieren untersucht, die den Verbleib, den Aufstieg und das Engagement von Frauen beeinflussen. Die Präsentation gliedert diese in fünf Dimensionen:</w:t>
            </w:r>
          </w:p>
          <w:p w14:paraId="4219B916" w14:textId="77777777" w:rsidR="009940C0" w:rsidRDefault="00586621">
            <w:pPr>
              <w:numPr>
                <w:ilvl w:val="0"/>
                <w:numId w:val="4"/>
              </w:numPr>
              <w:pBdr>
                <w:top w:val="nil"/>
                <w:left w:val="nil"/>
                <w:bottom w:val="nil"/>
                <w:right w:val="nil"/>
                <w:between w:val="nil"/>
              </w:pBdr>
              <w:spacing w:before="220"/>
              <w:rPr>
                <w:color w:val="000000"/>
                <w:sz w:val="22"/>
                <w:szCs w:val="22"/>
              </w:rPr>
            </w:pPr>
            <w:r>
              <w:rPr>
                <w:rFonts w:ascii="Arial" w:eastAsia="Arial" w:hAnsi="Arial" w:cs="Arial"/>
                <w:color w:val="000000"/>
                <w:sz w:val="22"/>
                <w:szCs w:val="22"/>
              </w:rPr>
              <w:t>Voreingenommenheit &amp; Verhaltensbedingte Herausforderungen (Stereotype, unbewusste Vorurteile, Mikroaggressionen)</w:t>
            </w:r>
          </w:p>
          <w:p w14:paraId="6FDE4FD0" w14:textId="77777777" w:rsidR="009940C0" w:rsidRDefault="00586621">
            <w:pPr>
              <w:numPr>
                <w:ilvl w:val="0"/>
                <w:numId w:val="4"/>
              </w:numPr>
              <w:pBdr>
                <w:top w:val="nil"/>
                <w:left w:val="nil"/>
                <w:bottom w:val="nil"/>
                <w:right w:val="nil"/>
                <w:between w:val="nil"/>
              </w:pBdr>
              <w:rPr>
                <w:color w:val="000000"/>
                <w:sz w:val="22"/>
                <w:szCs w:val="22"/>
              </w:rPr>
            </w:pPr>
            <w:r>
              <w:rPr>
                <w:rFonts w:ascii="Arial" w:eastAsia="Arial" w:hAnsi="Arial" w:cs="Arial"/>
                <w:color w:val="000000"/>
                <w:sz w:val="22"/>
                <w:szCs w:val="22"/>
              </w:rPr>
              <w:t>Work-Life-Balance &amp; Flexibilität (Betreuungsaufgaben, Benachteiligungen nach der Elternzeit, begrenzte flexible Arbeitsmöglichkeiten)</w:t>
            </w:r>
          </w:p>
          <w:p w14:paraId="3EA8E210" w14:textId="77777777" w:rsidR="009940C0" w:rsidRDefault="00586621">
            <w:pPr>
              <w:numPr>
                <w:ilvl w:val="0"/>
                <w:numId w:val="4"/>
              </w:numPr>
              <w:pBdr>
                <w:top w:val="nil"/>
                <w:left w:val="nil"/>
                <w:bottom w:val="nil"/>
                <w:right w:val="nil"/>
                <w:between w:val="nil"/>
              </w:pBdr>
              <w:rPr>
                <w:color w:val="000000"/>
                <w:sz w:val="22"/>
                <w:szCs w:val="22"/>
              </w:rPr>
            </w:pPr>
            <w:r>
              <w:rPr>
                <w:rFonts w:ascii="Arial" w:eastAsia="Arial" w:hAnsi="Arial" w:cs="Arial"/>
                <w:color w:val="000000"/>
                <w:sz w:val="22"/>
                <w:szCs w:val="22"/>
              </w:rPr>
              <w:t>Karrierebarrieren (Engpässe zu Beginn der Karriere, mangelndes Sponsoring, begrenzter Zugang zu Netzwerken)</w:t>
            </w:r>
          </w:p>
          <w:p w14:paraId="6FF55142" w14:textId="77777777" w:rsidR="009940C0" w:rsidRDefault="00586621">
            <w:pPr>
              <w:numPr>
                <w:ilvl w:val="0"/>
                <w:numId w:val="4"/>
              </w:numPr>
              <w:pBdr>
                <w:top w:val="nil"/>
                <w:left w:val="nil"/>
                <w:bottom w:val="nil"/>
                <w:right w:val="nil"/>
                <w:between w:val="nil"/>
              </w:pBdr>
              <w:rPr>
                <w:color w:val="000000"/>
                <w:sz w:val="22"/>
                <w:szCs w:val="22"/>
              </w:rPr>
            </w:pPr>
            <w:r>
              <w:rPr>
                <w:rFonts w:ascii="Arial" w:eastAsia="Arial" w:hAnsi="Arial" w:cs="Arial"/>
                <w:color w:val="000000"/>
                <w:sz w:val="22"/>
                <w:szCs w:val="22"/>
              </w:rPr>
              <w:t>Organisationskultur (Überstundenkultur, „Boys’ Club“-Dynamiken, Ausgrenzung, sexistische Kommentare)</w:t>
            </w:r>
          </w:p>
          <w:p w14:paraId="313B3BD3" w14:textId="77777777" w:rsidR="009940C0" w:rsidRDefault="00586621">
            <w:pPr>
              <w:numPr>
                <w:ilvl w:val="0"/>
                <w:numId w:val="4"/>
              </w:numPr>
              <w:pBdr>
                <w:top w:val="nil"/>
                <w:left w:val="nil"/>
                <w:bottom w:val="nil"/>
                <w:right w:val="nil"/>
                <w:between w:val="nil"/>
              </w:pBdr>
              <w:rPr>
                <w:color w:val="000000"/>
                <w:sz w:val="22"/>
                <w:szCs w:val="22"/>
              </w:rPr>
            </w:pPr>
            <w:r>
              <w:rPr>
                <w:rFonts w:ascii="Arial" w:eastAsia="Arial" w:hAnsi="Arial" w:cs="Arial"/>
                <w:color w:val="000000"/>
                <w:sz w:val="22"/>
                <w:szCs w:val="22"/>
              </w:rPr>
              <w:t>Bezahlung &amp; Repräsentation (ungleiche Bezahlung und begrenzte Wege in Führungspositionen)</w:t>
            </w:r>
          </w:p>
          <w:p w14:paraId="4872E864" w14:textId="77777777" w:rsidR="009940C0" w:rsidRDefault="00586621">
            <w:pPr>
              <w:numPr>
                <w:ilvl w:val="0"/>
                <w:numId w:val="4"/>
              </w:numPr>
              <w:pBdr>
                <w:top w:val="nil"/>
                <w:left w:val="nil"/>
                <w:bottom w:val="nil"/>
                <w:right w:val="nil"/>
                <w:between w:val="nil"/>
              </w:pBdr>
              <w:spacing w:after="220"/>
              <w:rPr>
                <w:color w:val="000000"/>
                <w:sz w:val="22"/>
                <w:szCs w:val="22"/>
              </w:rPr>
            </w:pPr>
            <w:r>
              <w:rPr>
                <w:rFonts w:ascii="Arial" w:eastAsia="Arial" w:hAnsi="Arial" w:cs="Arial"/>
                <w:color w:val="000000"/>
                <w:sz w:val="22"/>
                <w:szCs w:val="22"/>
              </w:rPr>
              <w:t>Der Fokus liegt dabei auf der systemischen Natur dieser Probleme und nicht auf individuellen Unzulänglichkeiten.</w:t>
            </w:r>
          </w:p>
          <w:p w14:paraId="7B4A1CE4" w14:textId="77777777" w:rsidR="009940C0" w:rsidRDefault="00586621">
            <w:pPr>
              <w:spacing w:before="220" w:after="220"/>
              <w:rPr>
                <w:rFonts w:ascii="Arial" w:eastAsia="Arial" w:hAnsi="Arial" w:cs="Arial"/>
                <w:b/>
                <w:bCs/>
                <w:sz w:val="21"/>
                <w:szCs w:val="21"/>
              </w:rPr>
            </w:pPr>
            <w:r>
              <w:rPr>
                <w:rFonts w:ascii="Arial" w:eastAsia="Arial" w:hAnsi="Arial" w:cs="Arial"/>
                <w:b/>
                <w:bCs/>
              </w:rPr>
              <w:t>Führungs- und Managementansätze</w:t>
            </w:r>
            <w:r>
              <w:rPr>
                <w:rFonts w:ascii="Arial" w:eastAsia="Arial" w:hAnsi="Arial" w:cs="Arial"/>
                <w:b/>
                <w:bCs/>
                <w:sz w:val="21"/>
                <w:szCs w:val="21"/>
              </w:rPr>
              <w:br/>
            </w:r>
            <w:r>
              <w:rPr>
                <w:rFonts w:ascii="Arial" w:eastAsia="Arial" w:hAnsi="Arial" w:cs="Arial"/>
              </w:rPr>
              <w:t xml:space="preserve">Der nächste Teil schlägt die Brücke von den Herausforderungen zu den Lösungen. Die Kursleitung stellt Strategien für inklusive Führung vor, die Frauen am Arbeitsplatz unterstützen, wie z. B. sichtbares Engagement der Führungsebene, Verantwortlichkeitsstrukturen, familienfreundliche Richtlinien, ein sicheres und respektvolles Arbeitsumfeld sowie faire Einstellungs- und Beförderungsprozesse. Die Teilnehmenden werden ermutigt, darüber zu reflektieren, welche Praktiken in ihre eigenen Teams oder Organisationen </w:t>
            </w:r>
            <w:r>
              <w:rPr>
                <w:rFonts w:ascii="Arial" w:eastAsia="Arial" w:hAnsi="Arial" w:cs="Arial"/>
              </w:rPr>
              <w:t>integriert werden könnten.</w:t>
            </w:r>
          </w:p>
          <w:p w14:paraId="65434B7D" w14:textId="77777777" w:rsidR="009940C0" w:rsidRDefault="00586621">
            <w:pPr>
              <w:spacing w:before="220" w:after="220"/>
              <w:rPr>
                <w:rFonts w:ascii="Arial" w:eastAsia="Arial" w:hAnsi="Arial" w:cs="Arial"/>
              </w:rPr>
            </w:pPr>
            <w:r>
              <w:rPr>
                <w:rFonts w:ascii="Arial" w:eastAsia="Arial" w:hAnsi="Arial" w:cs="Arial"/>
                <w:b/>
                <w:bCs/>
              </w:rPr>
              <w:t>Best-Practice-Beispiele</w:t>
            </w:r>
            <w:r>
              <w:rPr>
                <w:rFonts w:ascii="Arial" w:eastAsia="Arial" w:hAnsi="Arial" w:cs="Arial"/>
              </w:rPr>
              <w:br/>
            </w:r>
            <w:r>
              <w:rPr>
                <w:rFonts w:ascii="Arial" w:eastAsia="Arial" w:hAnsi="Arial" w:cs="Arial"/>
              </w:rPr>
              <w:t>Die Präsentation stellt drei Praxisbeispiele vor (CaixaBank, Calik Denim, Starlight Media), um zu veranschaulichen, wie verschiedene Organisationstypen Maßnahmen zur Geschlechtergleichstellung in der Praxis umsetzen. Diese Fälle bieten konkrete Inspiration und zeigen, wie strukturelle Veränderungen, gezielte Programme und kultureller Wandel zu messbaren Fortschritten führen können. Anschließend diskutieren die Teilnehmenden, welche Ansätze auf ihren eigenen Kontext übertragbar wären.</w:t>
            </w:r>
          </w:p>
          <w:p w14:paraId="61B3F391" w14:textId="77777777" w:rsidR="009940C0" w:rsidRDefault="00586621">
            <w:pPr>
              <w:spacing w:before="220" w:after="220"/>
              <w:rPr>
                <w:rFonts w:ascii="Arial" w:eastAsia="Arial" w:hAnsi="Arial" w:cs="Arial"/>
                <w:sz w:val="21"/>
                <w:szCs w:val="21"/>
              </w:rPr>
            </w:pPr>
            <w:r>
              <w:rPr>
                <w:rFonts w:ascii="Arial" w:eastAsia="Arial" w:hAnsi="Arial" w:cs="Arial"/>
                <w:b/>
                <w:bCs/>
              </w:rPr>
              <w:t>Abschluss</w:t>
            </w:r>
            <w:r>
              <w:rPr>
                <w:rFonts w:ascii="Arial" w:eastAsia="Arial" w:hAnsi="Arial" w:cs="Arial"/>
              </w:rPr>
              <w:br/>
            </w:r>
            <w:r>
              <w:rPr>
                <w:rFonts w:ascii="Arial" w:eastAsia="Arial" w:hAnsi="Arial" w:cs="Arial"/>
              </w:rPr>
              <w:t>Die Sitzung endet mit einer Zusammenfassung der wichtigsten Erkenntnisse und einer abschließenden Reflexionsfrage. Die Teilnehmenden werden ermutigt, ihre Gedanken zu notieren, die in die spätere Planungssitzung am Nachmittag einfließen können.</w:t>
            </w:r>
          </w:p>
        </w:tc>
      </w:tr>
      <w:tr w:rsidR="009940C0" w14:paraId="526150EB" w14:textId="77777777" w:rsidTr="009940C0">
        <w:trPr>
          <w:trHeight w:val="1954"/>
        </w:trPr>
        <w:tc>
          <w:tcPr>
            <w:tcW w:w="2130" w:type="dxa"/>
            <w:shd w:val="clear" w:color="auto" w:fill="F2F2F2"/>
          </w:tcPr>
          <w:p w14:paraId="7A72596B" w14:textId="77777777" w:rsidR="009940C0" w:rsidRDefault="00586621">
            <w:pPr>
              <w:spacing w:before="60" w:after="60" w:line="276" w:lineRule="auto"/>
              <w:rPr>
                <w:rFonts w:ascii="Arial" w:eastAsia="Arial" w:hAnsi="Arial" w:cs="Arial"/>
                <w:b/>
                <w:bCs/>
                <w:sz w:val="21"/>
                <w:szCs w:val="21"/>
              </w:rPr>
            </w:pPr>
            <w:r>
              <w:rPr>
                <w:rFonts w:ascii="Arial" w:eastAsia="Arial" w:hAnsi="Arial" w:cs="Arial"/>
                <w:b/>
                <w:bCs/>
                <w:sz w:val="21"/>
                <w:szCs w:val="21"/>
              </w:rPr>
              <w:lastRenderedPageBreak/>
              <w:t>Trainernotizen</w:t>
            </w:r>
          </w:p>
        </w:tc>
        <w:tc>
          <w:tcPr>
            <w:tcW w:w="6885" w:type="dxa"/>
          </w:tcPr>
          <w:p w14:paraId="0FDD559C" w14:textId="77777777" w:rsidR="009940C0" w:rsidRDefault="00586621">
            <w:pPr>
              <w:numPr>
                <w:ilvl w:val="0"/>
                <w:numId w:val="5"/>
              </w:numPr>
              <w:pBdr>
                <w:top w:val="nil"/>
                <w:left w:val="nil"/>
                <w:bottom w:val="nil"/>
                <w:right w:val="nil"/>
                <w:between w:val="nil"/>
              </w:pBdr>
              <w:shd w:val="clear" w:color="auto" w:fill="FFFFFF"/>
              <w:spacing w:after="180"/>
              <w:rPr>
                <w:color w:val="0A0A0A"/>
              </w:rPr>
            </w:pPr>
            <w:r>
              <w:rPr>
                <w:rFonts w:ascii="Arial" w:eastAsia="Arial" w:hAnsi="Arial" w:cs="Arial"/>
                <w:color w:val="0A0A0A"/>
              </w:rPr>
              <w:t xml:space="preserve">Betonen Sie zu Beginn den </w:t>
            </w:r>
            <w:r>
              <w:rPr>
                <w:rFonts w:ascii="Arial" w:eastAsia="Arial" w:hAnsi="Arial" w:cs="Arial"/>
                <w:b/>
                <w:bCs/>
                <w:color w:val="0A0A0A"/>
              </w:rPr>
              <w:t xml:space="preserve">wirtschaftlichen und sozialen Wert </w:t>
            </w:r>
            <w:r>
              <w:rPr>
                <w:rFonts w:ascii="Arial" w:eastAsia="Arial" w:hAnsi="Arial" w:cs="Arial"/>
                <w:color w:val="0A0A0A"/>
              </w:rPr>
              <w:t>der Frauenbeschäftigung.</w:t>
            </w:r>
          </w:p>
          <w:p w14:paraId="3929FF57" w14:textId="77777777" w:rsidR="009940C0" w:rsidRDefault="00586621">
            <w:pPr>
              <w:numPr>
                <w:ilvl w:val="0"/>
                <w:numId w:val="5"/>
              </w:numPr>
              <w:pBdr>
                <w:top w:val="nil"/>
                <w:left w:val="nil"/>
                <w:bottom w:val="nil"/>
                <w:right w:val="nil"/>
                <w:between w:val="nil"/>
              </w:pBdr>
              <w:shd w:val="clear" w:color="auto" w:fill="FFFFFF"/>
              <w:spacing w:after="180"/>
              <w:rPr>
                <w:color w:val="0A0A0A"/>
              </w:rPr>
            </w:pPr>
            <w:r>
              <w:rPr>
                <w:rFonts w:ascii="Arial" w:eastAsia="Arial" w:hAnsi="Arial" w:cs="Arial"/>
                <w:color w:val="0A0A0A"/>
              </w:rPr>
              <w:t>Ermutigen Sie die Teilnehmenden, ihre eigenen </w:t>
            </w:r>
            <w:r>
              <w:rPr>
                <w:rFonts w:ascii="Arial" w:eastAsia="Arial" w:hAnsi="Arial" w:cs="Arial"/>
                <w:b/>
                <w:bCs/>
                <w:color w:val="0A0A0A"/>
              </w:rPr>
              <w:t xml:space="preserve">Beobachtungen und Erfahrungen </w:t>
            </w:r>
            <w:r>
              <w:rPr>
                <w:rFonts w:ascii="Arial" w:eastAsia="Arial" w:hAnsi="Arial" w:cs="Arial"/>
                <w:color w:val="0A0A0A"/>
              </w:rPr>
              <w:t>zu teilen, während Sie eine respektvolle und inklusive Atmosphäre wahren.</w:t>
            </w:r>
          </w:p>
          <w:p w14:paraId="1B3572E4" w14:textId="77777777" w:rsidR="009940C0" w:rsidRDefault="00586621">
            <w:pPr>
              <w:numPr>
                <w:ilvl w:val="0"/>
                <w:numId w:val="5"/>
              </w:numPr>
              <w:pBdr>
                <w:top w:val="nil"/>
                <w:left w:val="nil"/>
                <w:bottom w:val="nil"/>
                <w:right w:val="nil"/>
                <w:between w:val="nil"/>
              </w:pBdr>
              <w:shd w:val="clear" w:color="auto" w:fill="FFFFFF"/>
              <w:spacing w:after="180"/>
              <w:rPr>
                <w:color w:val="0A0A0A"/>
              </w:rPr>
            </w:pPr>
            <w:r>
              <w:rPr>
                <w:rFonts w:ascii="Arial" w:eastAsia="Arial" w:hAnsi="Arial" w:cs="Arial"/>
                <w:color w:val="0A0A0A"/>
              </w:rPr>
              <w:t xml:space="preserve">Nutzen Sie </w:t>
            </w:r>
            <w:r>
              <w:rPr>
                <w:rFonts w:ascii="Arial" w:eastAsia="Arial" w:hAnsi="Arial" w:cs="Arial"/>
                <w:b/>
                <w:bCs/>
                <w:color w:val="0A0A0A"/>
              </w:rPr>
              <w:t>Leitfragen</w:t>
            </w:r>
            <w:r>
              <w:rPr>
                <w:rFonts w:ascii="Arial" w:eastAsia="Arial" w:hAnsi="Arial" w:cs="Arial"/>
                <w:color w:val="0A0A0A"/>
              </w:rPr>
              <w:t>, um die Diskussion anzuregen.</w:t>
            </w:r>
          </w:p>
          <w:p w14:paraId="6C8556D6" w14:textId="77777777" w:rsidR="009940C0" w:rsidRDefault="00586621">
            <w:pPr>
              <w:numPr>
                <w:ilvl w:val="0"/>
                <w:numId w:val="5"/>
              </w:numPr>
              <w:pBdr>
                <w:top w:val="nil"/>
                <w:left w:val="nil"/>
                <w:bottom w:val="nil"/>
                <w:right w:val="nil"/>
                <w:between w:val="nil"/>
              </w:pBdr>
              <w:shd w:val="clear" w:color="auto" w:fill="FFFFFF"/>
              <w:spacing w:after="180"/>
              <w:rPr>
                <w:color w:val="000000"/>
                <w:sz w:val="21"/>
                <w:szCs w:val="21"/>
              </w:rPr>
            </w:pPr>
            <w:r>
              <w:rPr>
                <w:rFonts w:ascii="Arial" w:eastAsia="Arial" w:hAnsi="Arial" w:cs="Arial"/>
                <w:color w:val="0A0A0A"/>
              </w:rPr>
              <w:t xml:space="preserve">Behalten Sie die </w:t>
            </w:r>
            <w:r>
              <w:rPr>
                <w:rFonts w:ascii="Arial" w:eastAsia="Arial" w:hAnsi="Arial" w:cs="Arial"/>
                <w:b/>
                <w:bCs/>
                <w:color w:val="0A0A0A"/>
              </w:rPr>
              <w:t xml:space="preserve">Zeit im Blick </w:t>
            </w:r>
            <w:r>
              <w:rPr>
                <w:rFonts w:ascii="Arial" w:eastAsia="Arial" w:hAnsi="Arial" w:cs="Arial"/>
                <w:color w:val="0A0A0A"/>
              </w:rPr>
              <w:t>und stellen Sie sicher, dass die einzelnen Abschnitte fließend ineinander übergehen.</w:t>
            </w:r>
          </w:p>
        </w:tc>
      </w:tr>
      <w:tr w:rsidR="009940C0" w14:paraId="6AE0D696" w14:textId="77777777" w:rsidTr="009940C0">
        <w:trPr>
          <w:trHeight w:val="416"/>
        </w:trPr>
        <w:tc>
          <w:tcPr>
            <w:tcW w:w="2130" w:type="dxa"/>
            <w:shd w:val="clear" w:color="auto" w:fill="F2F2F2"/>
          </w:tcPr>
          <w:p w14:paraId="7A6A26E7" w14:textId="77777777" w:rsidR="009940C0" w:rsidRDefault="00586621">
            <w:pPr>
              <w:spacing w:before="60" w:after="60" w:line="276" w:lineRule="auto"/>
              <w:rPr>
                <w:rFonts w:ascii="Arial" w:eastAsia="Arial" w:hAnsi="Arial" w:cs="Arial"/>
                <w:b/>
                <w:bCs/>
                <w:sz w:val="21"/>
                <w:szCs w:val="21"/>
              </w:rPr>
            </w:pPr>
            <w:r>
              <w:rPr>
                <w:rFonts w:ascii="Arial" w:eastAsia="Arial" w:hAnsi="Arial" w:cs="Arial"/>
                <w:b/>
                <w:bCs/>
                <w:sz w:val="21"/>
                <w:szCs w:val="21"/>
              </w:rPr>
              <w:t>Quellen/ Weiterführende Literatur</w:t>
            </w:r>
          </w:p>
        </w:tc>
        <w:tc>
          <w:tcPr>
            <w:tcW w:w="6885" w:type="dxa"/>
          </w:tcPr>
          <w:p w14:paraId="55635C76" w14:textId="77777777" w:rsidR="009940C0" w:rsidRPr="004E4E37" w:rsidRDefault="00586621">
            <w:pPr>
              <w:numPr>
                <w:ilvl w:val="0"/>
                <w:numId w:val="2"/>
              </w:numPr>
              <w:spacing w:line="276" w:lineRule="auto"/>
              <w:rPr>
                <w:sz w:val="21"/>
                <w:szCs w:val="21"/>
                <w:lang w:val="en-GB"/>
              </w:rPr>
            </w:pPr>
            <w:r w:rsidRPr="004E4E37">
              <w:rPr>
                <w:rFonts w:ascii="Arial" w:eastAsia="Arial" w:hAnsi="Arial" w:cs="Arial"/>
                <w:sz w:val="21"/>
                <w:szCs w:val="21"/>
                <w:lang w:val="en-GB"/>
              </w:rPr>
              <w:t xml:space="preserve">International Monetary Fund. (2023). Spending smarter: How efficient and well-allocated public spending can boost economic growth. IMF </w:t>
            </w:r>
            <w:proofErr w:type="spellStart"/>
            <w:r w:rsidRPr="004E4E37">
              <w:rPr>
                <w:rFonts w:ascii="Arial" w:eastAsia="Arial" w:hAnsi="Arial" w:cs="Arial"/>
                <w:sz w:val="21"/>
                <w:szCs w:val="21"/>
                <w:lang w:val="en-GB"/>
              </w:rPr>
              <w:t>eLibrary</w:t>
            </w:r>
            <w:proofErr w:type="spellEnd"/>
            <w:r w:rsidRPr="004E4E37">
              <w:rPr>
                <w:rFonts w:ascii="Arial" w:eastAsia="Arial" w:hAnsi="Arial" w:cs="Arial"/>
                <w:sz w:val="21"/>
                <w:szCs w:val="21"/>
                <w:lang w:val="en-GB"/>
              </w:rPr>
              <w:t>.</w:t>
            </w:r>
            <w:hyperlink r:id="rId7">
              <w:r w:rsidRPr="004E4E37">
                <w:rPr>
                  <w:rFonts w:ascii="Arial" w:eastAsia="Arial" w:hAnsi="Arial" w:cs="Arial"/>
                  <w:sz w:val="21"/>
                  <w:szCs w:val="21"/>
                  <w:lang w:val="en-GB"/>
                </w:rPr>
                <w:t xml:space="preserve"> </w:t>
              </w:r>
            </w:hyperlink>
            <w:hyperlink r:id="rId8">
              <w:r w:rsidRPr="004E4E37">
                <w:rPr>
                  <w:rFonts w:ascii="Arial" w:eastAsia="Arial" w:hAnsi="Arial" w:cs="Arial"/>
                  <w:color w:val="1155CC"/>
                  <w:sz w:val="21"/>
                  <w:szCs w:val="21"/>
                  <w:u w:val="single"/>
                  <w:lang w:val="en-GB"/>
                </w:rPr>
                <w:t>https://www.elibrary.imf.org/display/book/9781513516103/ch001.xml</w:t>
              </w:r>
            </w:hyperlink>
          </w:p>
          <w:p w14:paraId="5FDEEE1C" w14:textId="77777777" w:rsidR="009940C0" w:rsidRPr="004E4E37" w:rsidRDefault="00586621">
            <w:pPr>
              <w:numPr>
                <w:ilvl w:val="0"/>
                <w:numId w:val="2"/>
              </w:numPr>
              <w:spacing w:line="276" w:lineRule="auto"/>
              <w:rPr>
                <w:sz w:val="21"/>
                <w:szCs w:val="21"/>
                <w:lang w:val="en-GB"/>
              </w:rPr>
            </w:pPr>
            <w:r w:rsidRPr="004E4E37">
              <w:rPr>
                <w:rFonts w:ascii="Arial" w:eastAsia="Arial" w:hAnsi="Arial" w:cs="Arial"/>
                <w:sz w:val="21"/>
                <w:szCs w:val="21"/>
                <w:lang w:val="en-GB"/>
              </w:rPr>
              <w:t>Organisation for Economic Co-operation and Development. (2024). Gender equality and economic growth. OECD Publishing.</w:t>
            </w:r>
            <w:hyperlink r:id="rId9">
              <w:r w:rsidRPr="004E4E37">
                <w:rPr>
                  <w:rFonts w:ascii="Arial" w:eastAsia="Arial" w:hAnsi="Arial" w:cs="Arial"/>
                  <w:sz w:val="21"/>
                  <w:szCs w:val="21"/>
                  <w:lang w:val="en-GB"/>
                </w:rPr>
                <w:t xml:space="preserve"> </w:t>
              </w:r>
            </w:hyperlink>
            <w:hyperlink r:id="rId10">
              <w:r w:rsidRPr="004E4E37">
                <w:rPr>
                  <w:rFonts w:ascii="Arial" w:eastAsia="Arial" w:hAnsi="Arial" w:cs="Arial"/>
                  <w:color w:val="1155CC"/>
                  <w:sz w:val="21"/>
                  <w:szCs w:val="21"/>
                  <w:u w:val="single"/>
                  <w:lang w:val="en-GB"/>
                </w:rPr>
                <w:t>https://www.oecd.org/content/dam/oecd/en/publications/reports/2024/03/gender-equality-and-economic-growth_7d0c8365/fb0a0a93-en.pdf</w:t>
              </w:r>
            </w:hyperlink>
          </w:p>
          <w:p w14:paraId="0661A0CF" w14:textId="77777777" w:rsidR="009940C0" w:rsidRDefault="00586621">
            <w:pPr>
              <w:numPr>
                <w:ilvl w:val="0"/>
                <w:numId w:val="2"/>
              </w:numPr>
              <w:spacing w:line="276" w:lineRule="auto"/>
              <w:rPr>
                <w:sz w:val="21"/>
                <w:szCs w:val="21"/>
              </w:rPr>
            </w:pPr>
            <w:r w:rsidRPr="004E4E37">
              <w:rPr>
                <w:rFonts w:ascii="Arial" w:eastAsia="Arial" w:hAnsi="Arial" w:cs="Arial"/>
                <w:sz w:val="21"/>
                <w:szCs w:val="21"/>
                <w:lang w:val="en-GB"/>
              </w:rPr>
              <w:t>European Commission. (n.d.). Women’s situation in the labour market.</w:t>
            </w:r>
            <w:hyperlink r:id="rId11">
              <w:r w:rsidRPr="004E4E37">
                <w:rPr>
                  <w:rFonts w:ascii="Arial" w:eastAsia="Arial" w:hAnsi="Arial" w:cs="Arial"/>
                  <w:sz w:val="21"/>
                  <w:szCs w:val="21"/>
                  <w:lang w:val="en-GB"/>
                </w:rPr>
                <w:t xml:space="preserve"> </w:t>
              </w:r>
            </w:hyperlink>
            <w:hyperlink r:id="rId12">
              <w:r>
                <w:rPr>
                  <w:rFonts w:ascii="Arial" w:eastAsia="Arial" w:hAnsi="Arial" w:cs="Arial"/>
                  <w:color w:val="1155CC"/>
                  <w:sz w:val="21"/>
                  <w:szCs w:val="21"/>
                  <w:u w:val="single"/>
                </w:rPr>
                <w:t>https://commission.europa.eu/strategy-and-policy/policies/justice-and-fundamental-rights/gender-equality/women-labour-market-work-life-balance/womens-situation-labour-market_en</w:t>
              </w:r>
            </w:hyperlink>
          </w:p>
          <w:p w14:paraId="6A62E99B" w14:textId="77777777" w:rsidR="009940C0" w:rsidRDefault="00586621">
            <w:pPr>
              <w:numPr>
                <w:ilvl w:val="0"/>
                <w:numId w:val="2"/>
              </w:numPr>
              <w:spacing w:line="276" w:lineRule="auto"/>
              <w:rPr>
                <w:sz w:val="21"/>
                <w:szCs w:val="21"/>
              </w:rPr>
            </w:pPr>
            <w:r w:rsidRPr="004E4E37">
              <w:rPr>
                <w:rFonts w:ascii="Arial" w:eastAsia="Arial" w:hAnsi="Arial" w:cs="Arial"/>
                <w:sz w:val="21"/>
                <w:szCs w:val="21"/>
                <w:lang w:val="en-GB"/>
              </w:rPr>
              <w:t>United Nations Development Programme. (2023). Gender equality in employment.</w:t>
            </w:r>
            <w:hyperlink r:id="rId13">
              <w:r w:rsidRPr="004E4E37">
                <w:rPr>
                  <w:rFonts w:ascii="Arial" w:eastAsia="Arial" w:hAnsi="Arial" w:cs="Arial"/>
                  <w:sz w:val="21"/>
                  <w:szCs w:val="21"/>
                  <w:lang w:val="en-GB"/>
                </w:rPr>
                <w:t xml:space="preserve"> </w:t>
              </w:r>
            </w:hyperlink>
            <w:hyperlink r:id="rId14">
              <w:r>
                <w:rPr>
                  <w:rFonts w:ascii="Arial" w:eastAsia="Arial" w:hAnsi="Arial" w:cs="Arial"/>
                  <w:color w:val="1155CC"/>
                  <w:sz w:val="21"/>
                  <w:szCs w:val="21"/>
                  <w:u w:val="single"/>
                </w:rPr>
                <w:t>https://www.undp.org/sites/g/files/zskgke326/files/2023-03/Gender%20Equality%20in%20Employment%20-%20ENG.pdf</w:t>
              </w:r>
            </w:hyperlink>
          </w:p>
          <w:p w14:paraId="6FA8D94A" w14:textId="77777777" w:rsidR="009940C0" w:rsidRDefault="00586621">
            <w:pPr>
              <w:numPr>
                <w:ilvl w:val="0"/>
                <w:numId w:val="2"/>
              </w:numPr>
              <w:spacing w:line="276" w:lineRule="auto"/>
              <w:rPr>
                <w:sz w:val="21"/>
                <w:szCs w:val="21"/>
              </w:rPr>
            </w:pPr>
            <w:r w:rsidRPr="004E4E37">
              <w:rPr>
                <w:rFonts w:ascii="Arial" w:eastAsia="Arial" w:hAnsi="Arial" w:cs="Arial"/>
                <w:sz w:val="21"/>
                <w:szCs w:val="21"/>
                <w:lang w:val="en-GB"/>
              </w:rPr>
              <w:t>European Institute for Gender Equality. (n.d.). Economic benefits of gender equality.</w:t>
            </w:r>
            <w:hyperlink r:id="rId15">
              <w:r w:rsidRPr="004E4E37">
                <w:rPr>
                  <w:rFonts w:ascii="Arial" w:eastAsia="Arial" w:hAnsi="Arial" w:cs="Arial"/>
                  <w:sz w:val="21"/>
                  <w:szCs w:val="21"/>
                  <w:lang w:val="en-GB"/>
                </w:rPr>
                <w:t xml:space="preserve"> </w:t>
              </w:r>
            </w:hyperlink>
            <w:hyperlink r:id="rId16">
              <w:r>
                <w:rPr>
                  <w:rFonts w:ascii="Arial" w:eastAsia="Arial" w:hAnsi="Arial" w:cs="Arial"/>
                  <w:color w:val="1155CC"/>
                  <w:sz w:val="21"/>
                  <w:szCs w:val="21"/>
                  <w:u w:val="single"/>
                </w:rPr>
                <w:t>https://eige.europa.eu/newsroom/economic-benefits-gender-equality?language_content_entity=en</w:t>
              </w:r>
            </w:hyperlink>
          </w:p>
          <w:p w14:paraId="3BA4E0FF" w14:textId="77777777" w:rsidR="009940C0" w:rsidRPr="004E4E37" w:rsidRDefault="00586621">
            <w:pPr>
              <w:numPr>
                <w:ilvl w:val="0"/>
                <w:numId w:val="2"/>
              </w:numPr>
              <w:spacing w:line="276" w:lineRule="auto"/>
              <w:rPr>
                <w:sz w:val="21"/>
                <w:szCs w:val="21"/>
                <w:lang w:val="en-GB"/>
              </w:rPr>
            </w:pPr>
            <w:r w:rsidRPr="004E4E37">
              <w:rPr>
                <w:rFonts w:ascii="Arial" w:eastAsia="Arial" w:hAnsi="Arial" w:cs="Arial"/>
                <w:sz w:val="21"/>
                <w:szCs w:val="21"/>
                <w:lang w:val="en-GB"/>
              </w:rPr>
              <w:t xml:space="preserve">Miller, K., &amp; </w:t>
            </w:r>
            <w:proofErr w:type="spellStart"/>
            <w:r w:rsidRPr="004E4E37">
              <w:rPr>
                <w:rFonts w:ascii="Arial" w:eastAsia="Arial" w:hAnsi="Arial" w:cs="Arial"/>
                <w:sz w:val="21"/>
                <w:szCs w:val="21"/>
                <w:lang w:val="en-GB"/>
              </w:rPr>
              <w:t>Vagins</w:t>
            </w:r>
            <w:proofErr w:type="spellEnd"/>
            <w:r w:rsidRPr="004E4E37">
              <w:rPr>
                <w:rFonts w:ascii="Arial" w:eastAsia="Arial" w:hAnsi="Arial" w:cs="Arial"/>
                <w:sz w:val="21"/>
                <w:szCs w:val="21"/>
                <w:lang w:val="en-GB"/>
              </w:rPr>
              <w:t>, D. B. (2015). Workplace inequality persists: Discrimination and bias against women. Journal of Women's Health, 24(10), 837–839.</w:t>
            </w:r>
            <w:hyperlink r:id="rId17">
              <w:r w:rsidRPr="004E4E37">
                <w:rPr>
                  <w:rFonts w:ascii="Arial" w:eastAsia="Arial" w:hAnsi="Arial" w:cs="Arial"/>
                  <w:sz w:val="21"/>
                  <w:szCs w:val="21"/>
                  <w:lang w:val="en-GB"/>
                </w:rPr>
                <w:t xml:space="preserve"> </w:t>
              </w:r>
            </w:hyperlink>
            <w:hyperlink r:id="rId18">
              <w:r w:rsidRPr="004E4E37">
                <w:rPr>
                  <w:rFonts w:ascii="Arial" w:eastAsia="Arial" w:hAnsi="Arial" w:cs="Arial"/>
                  <w:color w:val="1155CC"/>
                  <w:sz w:val="21"/>
                  <w:szCs w:val="21"/>
                  <w:u w:val="single"/>
                  <w:lang w:val="en-GB"/>
                </w:rPr>
                <w:t>https://pmc.ncbi.nlm.nih.gov/articles/PMC4584998/</w:t>
              </w:r>
            </w:hyperlink>
          </w:p>
          <w:p w14:paraId="3F586CE1" w14:textId="77777777" w:rsidR="009940C0" w:rsidRDefault="00586621">
            <w:pPr>
              <w:numPr>
                <w:ilvl w:val="0"/>
                <w:numId w:val="2"/>
              </w:numPr>
              <w:spacing w:line="276" w:lineRule="auto"/>
              <w:rPr>
                <w:sz w:val="21"/>
                <w:szCs w:val="21"/>
              </w:rPr>
            </w:pPr>
            <w:r w:rsidRPr="004E4E37">
              <w:rPr>
                <w:rFonts w:ascii="Arial" w:eastAsia="Arial" w:hAnsi="Arial" w:cs="Arial"/>
                <w:sz w:val="21"/>
                <w:szCs w:val="21"/>
                <w:lang w:val="en-GB"/>
              </w:rPr>
              <w:t>Cogent Info. (n.d.). 15 issues women face at the workplace and how to combat them.</w:t>
            </w:r>
            <w:hyperlink r:id="rId19">
              <w:r w:rsidRPr="004E4E37">
                <w:rPr>
                  <w:rFonts w:ascii="Arial" w:eastAsia="Arial" w:hAnsi="Arial" w:cs="Arial"/>
                  <w:sz w:val="21"/>
                  <w:szCs w:val="21"/>
                  <w:lang w:val="en-GB"/>
                </w:rPr>
                <w:t xml:space="preserve"> </w:t>
              </w:r>
            </w:hyperlink>
            <w:hyperlink r:id="rId20">
              <w:r>
                <w:rPr>
                  <w:rFonts w:ascii="Arial" w:eastAsia="Arial" w:hAnsi="Arial" w:cs="Arial"/>
                  <w:color w:val="1155CC"/>
                  <w:sz w:val="21"/>
                  <w:szCs w:val="21"/>
                  <w:u w:val="single"/>
                </w:rPr>
                <w:t>https://www.cogentinfo.com/resources/15-issues-women-face-at-the-workplace-and-how-to-combat-them</w:t>
              </w:r>
            </w:hyperlink>
          </w:p>
          <w:p w14:paraId="3E55D033" w14:textId="77777777" w:rsidR="009940C0" w:rsidRDefault="00586621">
            <w:pPr>
              <w:numPr>
                <w:ilvl w:val="0"/>
                <w:numId w:val="2"/>
              </w:numPr>
              <w:spacing w:line="276" w:lineRule="auto"/>
              <w:rPr>
                <w:sz w:val="21"/>
                <w:szCs w:val="21"/>
              </w:rPr>
            </w:pPr>
            <w:r w:rsidRPr="004E4E37">
              <w:rPr>
                <w:rFonts w:ascii="Arial" w:eastAsia="Arial" w:hAnsi="Arial" w:cs="Arial"/>
                <w:sz w:val="21"/>
                <w:szCs w:val="21"/>
                <w:lang w:val="en-GB"/>
              </w:rPr>
              <w:t>International Institute for Management Development. (n.d.). Gender bias: Why it persists and how to tackle it.</w:t>
            </w:r>
            <w:hyperlink r:id="rId21">
              <w:r w:rsidRPr="004E4E37">
                <w:rPr>
                  <w:rFonts w:ascii="Arial" w:eastAsia="Arial" w:hAnsi="Arial" w:cs="Arial"/>
                  <w:sz w:val="21"/>
                  <w:szCs w:val="21"/>
                  <w:lang w:val="en-GB"/>
                </w:rPr>
                <w:t xml:space="preserve"> </w:t>
              </w:r>
            </w:hyperlink>
            <w:hyperlink r:id="rId22">
              <w:r>
                <w:rPr>
                  <w:rFonts w:ascii="Arial" w:eastAsia="Arial" w:hAnsi="Arial" w:cs="Arial"/>
                  <w:color w:val="1155CC"/>
                  <w:sz w:val="21"/>
                  <w:szCs w:val="21"/>
                  <w:u w:val="single"/>
                </w:rPr>
                <w:t>https://www.imd.org/blog/management/gender-bias/</w:t>
              </w:r>
            </w:hyperlink>
          </w:p>
          <w:p w14:paraId="7D2113E8" w14:textId="77777777" w:rsidR="009940C0" w:rsidRPr="004E4E37" w:rsidRDefault="00586621">
            <w:pPr>
              <w:numPr>
                <w:ilvl w:val="0"/>
                <w:numId w:val="2"/>
              </w:numPr>
              <w:spacing w:line="276" w:lineRule="auto"/>
              <w:rPr>
                <w:sz w:val="21"/>
                <w:szCs w:val="21"/>
                <w:lang w:val="en-GB"/>
              </w:rPr>
            </w:pPr>
            <w:r w:rsidRPr="004E4E37">
              <w:rPr>
                <w:rFonts w:ascii="Arial" w:eastAsia="Arial" w:hAnsi="Arial" w:cs="Arial"/>
                <w:sz w:val="21"/>
                <w:szCs w:val="21"/>
                <w:lang w:val="en-GB"/>
              </w:rPr>
              <w:t xml:space="preserve">Carranza, E., Das, S., &amp; </w:t>
            </w:r>
            <w:proofErr w:type="spellStart"/>
            <w:r w:rsidRPr="004E4E37">
              <w:rPr>
                <w:rFonts w:ascii="Arial" w:eastAsia="Arial" w:hAnsi="Arial" w:cs="Arial"/>
                <w:sz w:val="21"/>
                <w:szCs w:val="21"/>
                <w:lang w:val="en-GB"/>
              </w:rPr>
              <w:t>Kotikula</w:t>
            </w:r>
            <w:proofErr w:type="spellEnd"/>
            <w:r w:rsidRPr="004E4E37">
              <w:rPr>
                <w:rFonts w:ascii="Arial" w:eastAsia="Arial" w:hAnsi="Arial" w:cs="Arial"/>
                <w:sz w:val="21"/>
                <w:szCs w:val="21"/>
                <w:lang w:val="en-GB"/>
              </w:rPr>
              <w:t>, A. (2018). Gender-based employment segregation: Understanding causes and policy interventions. World Bank.</w:t>
            </w:r>
            <w:hyperlink r:id="rId23">
              <w:r w:rsidRPr="004E4E37">
                <w:rPr>
                  <w:rFonts w:ascii="Arial" w:eastAsia="Arial" w:hAnsi="Arial" w:cs="Arial"/>
                  <w:sz w:val="21"/>
                  <w:szCs w:val="21"/>
                  <w:lang w:val="en-GB"/>
                </w:rPr>
                <w:t xml:space="preserve"> </w:t>
              </w:r>
            </w:hyperlink>
            <w:hyperlink r:id="rId24">
              <w:r w:rsidRPr="004E4E37">
                <w:rPr>
                  <w:rFonts w:ascii="Arial" w:eastAsia="Arial" w:hAnsi="Arial" w:cs="Arial"/>
                  <w:color w:val="1155CC"/>
                  <w:sz w:val="21"/>
                  <w:szCs w:val="21"/>
                  <w:u w:val="single"/>
                  <w:lang w:val="en-GB"/>
                </w:rPr>
                <w:t>https://documents1.worldbank.org/curated/en/48362155412972</w:t>
              </w:r>
              <w:r w:rsidRPr="004E4E37">
                <w:rPr>
                  <w:rFonts w:ascii="Arial" w:eastAsia="Arial" w:hAnsi="Arial" w:cs="Arial"/>
                  <w:color w:val="1155CC"/>
                  <w:sz w:val="21"/>
                  <w:szCs w:val="21"/>
                  <w:u w:val="single"/>
                  <w:lang w:val="en-GB"/>
                </w:rPr>
                <w:lastRenderedPageBreak/>
                <w:t>0460/pdf/Gender-Based-Employment-Segregation-Understanding-Causes-and-Policy-Interventions.pdf</w:t>
              </w:r>
            </w:hyperlink>
          </w:p>
          <w:p w14:paraId="7905B43F" w14:textId="77777777" w:rsidR="009940C0" w:rsidRDefault="00586621">
            <w:pPr>
              <w:numPr>
                <w:ilvl w:val="0"/>
                <w:numId w:val="2"/>
              </w:numPr>
              <w:spacing w:line="276" w:lineRule="auto"/>
              <w:rPr>
                <w:sz w:val="21"/>
                <w:szCs w:val="21"/>
              </w:rPr>
            </w:pPr>
            <w:r w:rsidRPr="004E4E37">
              <w:rPr>
                <w:rFonts w:ascii="Arial" w:eastAsia="Arial" w:hAnsi="Arial" w:cs="Arial"/>
                <w:sz w:val="21"/>
                <w:szCs w:val="21"/>
                <w:lang w:val="pt-BR"/>
              </w:rPr>
              <w:t xml:space="preserve">Ortiz-Ospina, E., Tzvetkova, S., &amp; Roser, M. (2024). </w:t>
            </w:r>
            <w:r w:rsidRPr="004E4E37">
              <w:rPr>
                <w:rFonts w:ascii="Arial" w:eastAsia="Arial" w:hAnsi="Arial" w:cs="Arial"/>
                <w:sz w:val="21"/>
                <w:szCs w:val="21"/>
                <w:lang w:val="en-GB"/>
              </w:rPr>
              <w:t xml:space="preserve">Female </w:t>
            </w:r>
            <w:proofErr w:type="spellStart"/>
            <w:r w:rsidRPr="004E4E37">
              <w:rPr>
                <w:rFonts w:ascii="Arial" w:eastAsia="Arial" w:hAnsi="Arial" w:cs="Arial"/>
                <w:sz w:val="21"/>
                <w:szCs w:val="21"/>
                <w:lang w:val="en-GB"/>
              </w:rPr>
              <w:t>labor</w:t>
            </w:r>
            <w:proofErr w:type="spellEnd"/>
            <w:r w:rsidRPr="004E4E37">
              <w:rPr>
                <w:rFonts w:ascii="Arial" w:eastAsia="Arial" w:hAnsi="Arial" w:cs="Arial"/>
                <w:sz w:val="21"/>
                <w:szCs w:val="21"/>
                <w:lang w:val="en-GB"/>
              </w:rPr>
              <w:t xml:space="preserve"> supply. Our World in Data.</w:t>
            </w:r>
            <w:hyperlink r:id="rId25">
              <w:r w:rsidRPr="004E4E37">
                <w:rPr>
                  <w:rFonts w:ascii="Arial" w:eastAsia="Arial" w:hAnsi="Arial" w:cs="Arial"/>
                  <w:sz w:val="21"/>
                  <w:szCs w:val="21"/>
                  <w:lang w:val="en-GB"/>
                </w:rPr>
                <w:t xml:space="preserve"> </w:t>
              </w:r>
            </w:hyperlink>
            <w:hyperlink r:id="rId26">
              <w:r>
                <w:rPr>
                  <w:rFonts w:ascii="Arial" w:eastAsia="Arial" w:hAnsi="Arial" w:cs="Arial"/>
                  <w:color w:val="1155CC"/>
                  <w:sz w:val="21"/>
                  <w:szCs w:val="21"/>
                  <w:u w:val="single"/>
                </w:rPr>
                <w:t>https://ourworldindata.org/female-labor-supply</w:t>
              </w:r>
            </w:hyperlink>
          </w:p>
        </w:tc>
      </w:tr>
      <w:tr w:rsidR="009940C0" w14:paraId="793FEADD" w14:textId="77777777" w:rsidTr="009940C0">
        <w:trPr>
          <w:trHeight w:val="416"/>
        </w:trPr>
        <w:tc>
          <w:tcPr>
            <w:tcW w:w="2130" w:type="dxa"/>
            <w:shd w:val="clear" w:color="auto" w:fill="F2F2F2"/>
          </w:tcPr>
          <w:p w14:paraId="4E952284" w14:textId="77777777" w:rsidR="009940C0" w:rsidRDefault="00586621">
            <w:pPr>
              <w:spacing w:before="60" w:after="60" w:line="276" w:lineRule="auto"/>
              <w:rPr>
                <w:b/>
                <w:bCs/>
                <w:sz w:val="21"/>
                <w:szCs w:val="21"/>
              </w:rPr>
            </w:pPr>
            <w:r>
              <w:rPr>
                <w:rFonts w:ascii="Arial" w:eastAsia="Arial" w:hAnsi="Arial" w:cs="Arial"/>
                <w:b/>
                <w:bCs/>
                <w:sz w:val="21"/>
                <w:szCs w:val="21"/>
              </w:rPr>
              <w:lastRenderedPageBreak/>
              <w:t>Datei</w:t>
            </w:r>
          </w:p>
        </w:tc>
        <w:tc>
          <w:tcPr>
            <w:tcW w:w="6885" w:type="dxa"/>
          </w:tcPr>
          <w:p w14:paraId="4A59FCB1" w14:textId="148EF02F" w:rsidR="009940C0" w:rsidRDefault="00586621">
            <w:pPr>
              <w:pBdr>
                <w:top w:val="nil"/>
                <w:left w:val="nil"/>
                <w:bottom w:val="nil"/>
                <w:right w:val="nil"/>
                <w:between w:val="nil"/>
              </w:pBdr>
              <w:spacing w:line="276" w:lineRule="auto"/>
              <w:rPr>
                <w:sz w:val="21"/>
                <w:szCs w:val="21"/>
              </w:rPr>
            </w:pPr>
            <w:r>
              <w:rPr>
                <w:rFonts w:ascii="Arial" w:eastAsia="Arial" w:hAnsi="Arial" w:cs="Arial"/>
                <w:b/>
                <w:bCs/>
                <w:sz w:val="21"/>
                <w:szCs w:val="21"/>
              </w:rPr>
              <w:t>Frauen am Arbeitsmarkt</w:t>
            </w:r>
            <w:r>
              <w:rPr>
                <w:rFonts w:ascii="Arial" w:eastAsia="Arial" w:hAnsi="Arial" w:cs="Arial"/>
                <w:b/>
                <w:bCs/>
                <w:sz w:val="21"/>
                <w:szCs w:val="21"/>
              </w:rPr>
              <w:br/>
            </w:r>
            <w:proofErr w:type="spellStart"/>
            <w:r w:rsidR="004E4E37" w:rsidRPr="004E4E37">
              <w:rPr>
                <w:rFonts w:ascii="Arial" w:eastAsia="Arial" w:hAnsi="Arial" w:cs="Arial"/>
                <w:b/>
                <w:bCs/>
                <w:sz w:val="21"/>
                <w:szCs w:val="21"/>
              </w:rPr>
              <w:t>ELEVATE_Unit</w:t>
            </w:r>
            <w:proofErr w:type="spellEnd"/>
            <w:r w:rsidR="004E4E37" w:rsidRPr="004E4E37">
              <w:rPr>
                <w:rFonts w:ascii="Arial" w:eastAsia="Arial" w:hAnsi="Arial" w:cs="Arial"/>
                <w:b/>
                <w:bCs/>
                <w:sz w:val="21"/>
                <w:szCs w:val="21"/>
              </w:rPr>
              <w:t xml:space="preserve"> </w:t>
            </w:r>
            <w:r w:rsidR="004E4E37">
              <w:rPr>
                <w:rFonts w:ascii="Arial" w:eastAsia="Arial" w:hAnsi="Arial" w:cs="Arial"/>
                <w:b/>
                <w:bCs/>
                <w:sz w:val="21"/>
                <w:szCs w:val="21"/>
              </w:rPr>
              <w:t>3</w:t>
            </w:r>
            <w:r w:rsidR="004E4E37" w:rsidRPr="004E4E37">
              <w:rPr>
                <w:rFonts w:ascii="Arial" w:eastAsia="Arial" w:hAnsi="Arial" w:cs="Arial"/>
                <w:b/>
                <w:bCs/>
                <w:sz w:val="21"/>
                <w:szCs w:val="21"/>
              </w:rPr>
              <w:t>_DE.pptx</w:t>
            </w:r>
          </w:p>
        </w:tc>
      </w:tr>
    </w:tbl>
    <w:p w14:paraId="242214F3" w14:textId="77777777" w:rsidR="009940C0" w:rsidRDefault="009940C0">
      <w:pPr>
        <w:rPr>
          <w:rFonts w:ascii="Arial Black" w:eastAsia="Arial Black" w:hAnsi="Arial Black" w:cs="Arial Black"/>
          <w:b/>
          <w:bCs/>
          <w:color w:val="FF9525"/>
          <w:sz w:val="21"/>
          <w:szCs w:val="21"/>
        </w:rPr>
      </w:pPr>
    </w:p>
    <w:sectPr w:rsidR="009940C0">
      <w:headerReference w:type="default" r:id="rId27"/>
      <w:footerReference w:type="default" r:id="rId28"/>
      <w:headerReference w:type="first" r:id="rId29"/>
      <w:footerReference w:type="first" r:id="rId30"/>
      <w:pgSz w:w="11905" w:h="16837"/>
      <w:pgMar w:top="1276" w:right="1134" w:bottom="851" w:left="1134" w:header="851"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8AF9A" w14:textId="77777777" w:rsidR="00586621" w:rsidRDefault="00586621">
      <w:pPr>
        <w:spacing w:after="0" w:line="240" w:lineRule="auto"/>
      </w:pPr>
      <w:r>
        <w:separator/>
      </w:r>
    </w:p>
  </w:endnote>
  <w:endnote w:type="continuationSeparator" w:id="0">
    <w:p w14:paraId="1159105D" w14:textId="77777777" w:rsidR="00586621" w:rsidRDefault="00586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2C09C01-2C4B-439F-83AA-452C7CF3C23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Bold r:id="rId2" w:fontKey="{650CECC5-E86E-4FB5-AD18-D4D5F6ABFE69}"/>
  </w:font>
  <w:font w:name="Calibri">
    <w:panose1 w:val="020F0502020204030204"/>
    <w:charset w:val="00"/>
    <w:family w:val="swiss"/>
    <w:pitch w:val="variable"/>
    <w:sig w:usb0="E4002EFF" w:usb1="C200ACFF" w:usb2="00000009" w:usb3="00000000" w:csb0="000001FF" w:csb1="00000000"/>
    <w:embedRegular r:id="rId3" w:fontKey="{5E798248-5BD1-4414-AD73-569E75C7E252}"/>
  </w:font>
  <w:font w:name="Georgia">
    <w:panose1 w:val="02040502050405020303"/>
    <w:charset w:val="00"/>
    <w:family w:val="roman"/>
    <w:pitch w:val="variable"/>
    <w:sig w:usb0="00000287" w:usb1="00000000" w:usb2="00000000" w:usb3="00000000" w:csb0="0000009F" w:csb1="00000000"/>
    <w:embedItalic r:id="rId4" w:fontKey="{41DE0611-1524-4D95-89D0-6F964087F579}"/>
  </w:font>
  <w:font w:name="Cambria">
    <w:panose1 w:val="02040503050406030204"/>
    <w:charset w:val="00"/>
    <w:family w:val="roman"/>
    <w:pitch w:val="variable"/>
    <w:sig w:usb0="E00006FF" w:usb1="420024FF" w:usb2="02000000" w:usb3="00000000" w:csb0="0000019F" w:csb1="00000000"/>
    <w:embedRegular r:id="rId5" w:fontKey="{3B16DB46-F491-4B2C-9372-E3262D8939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9E5F" w14:textId="77777777" w:rsidR="009940C0" w:rsidRDefault="00586621">
    <w:pPr>
      <w:pBdr>
        <w:top w:val="single" w:sz="4" w:space="1" w:color="E7E6E6"/>
        <w:left w:val="nil"/>
        <w:bottom w:val="nil"/>
        <w:right w:val="nil"/>
        <w:between w:val="nil"/>
      </w:pBdr>
      <w:tabs>
        <w:tab w:val="center" w:pos="4536"/>
        <w:tab w:val="right" w:pos="9072"/>
      </w:tabs>
      <w:rPr>
        <w:color w:val="000000"/>
      </w:rPr>
    </w:pPr>
    <w:r>
      <w:rPr>
        <w:noProof/>
      </w:rPr>
      <w:drawing>
        <wp:anchor distT="114300" distB="114300" distL="114300" distR="114300" simplePos="0" relativeHeight="251661312" behindDoc="0" locked="0" layoutInCell="1" hidden="0" allowOverlap="1" wp14:anchorId="58FCCC15" wp14:editId="752E1552">
          <wp:simplePos x="0" y="0"/>
          <wp:positionH relativeFrom="column">
            <wp:posOffset>-726276</wp:posOffset>
          </wp:positionH>
          <wp:positionV relativeFrom="paragraph">
            <wp:posOffset>123825</wp:posOffset>
          </wp:positionV>
          <wp:extent cx="7569367" cy="600075"/>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9367" cy="600075"/>
                  </a:xfrm>
                  <a:prstGeom prst="rect">
                    <a:avLst/>
                  </a:prstGeom>
                  <a:ln/>
                </pic:spPr>
              </pic:pic>
            </a:graphicData>
          </a:graphic>
        </wp:anchor>
      </w:drawing>
    </w:r>
  </w:p>
  <w:p w14:paraId="42A999B9" w14:textId="77777777" w:rsidR="009940C0" w:rsidRDefault="009940C0">
    <w:pPr>
      <w:pBdr>
        <w:top w:val="nil"/>
        <w:left w:val="nil"/>
        <w:bottom w:val="nil"/>
        <w:right w:val="nil"/>
        <w:between w:val="nil"/>
      </w:pBdr>
      <w:tabs>
        <w:tab w:val="center" w:pos="4536"/>
        <w:tab w:val="right" w:pos="9072"/>
        <w:tab w:val="left" w:pos="328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E2C5" w14:textId="77777777" w:rsidR="009940C0" w:rsidRDefault="009940C0">
    <w:pPr>
      <w:pBdr>
        <w:top w:val="nil"/>
        <w:left w:val="nil"/>
        <w:bottom w:val="nil"/>
        <w:right w:val="nil"/>
        <w:between w:val="nil"/>
      </w:pBdr>
      <w:tabs>
        <w:tab w:val="center" w:pos="4536"/>
        <w:tab w:val="right" w:pos="9072"/>
      </w:tabs>
      <w:rPr>
        <w:color w:val="000000"/>
        <w:sz w:val="18"/>
        <w:szCs w:val="18"/>
      </w:rPr>
    </w:pPr>
  </w:p>
  <w:p w14:paraId="2A864ACD" w14:textId="77777777" w:rsidR="009940C0" w:rsidRDefault="009940C0">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0F4B2" w14:textId="77777777" w:rsidR="00586621" w:rsidRDefault="00586621">
      <w:pPr>
        <w:spacing w:after="0" w:line="240" w:lineRule="auto"/>
      </w:pPr>
      <w:r>
        <w:separator/>
      </w:r>
    </w:p>
  </w:footnote>
  <w:footnote w:type="continuationSeparator" w:id="0">
    <w:p w14:paraId="4C2AADF7" w14:textId="77777777" w:rsidR="00586621" w:rsidRDefault="00586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F4660" w14:textId="77777777" w:rsidR="009940C0" w:rsidRDefault="00586621">
    <w:pPr>
      <w:tabs>
        <w:tab w:val="center" w:pos="4536"/>
        <w:tab w:val="right" w:pos="9072"/>
      </w:tabs>
      <w:rPr>
        <w:sz w:val="21"/>
        <w:szCs w:val="21"/>
      </w:rPr>
    </w:pPr>
    <w:r>
      <w:rPr>
        <w:noProof/>
      </w:rPr>
      <mc:AlternateContent>
        <mc:Choice Requires="wpg">
          <w:drawing>
            <wp:anchor distT="0" distB="0" distL="114300" distR="114300" simplePos="0" relativeHeight="251658240" behindDoc="0" locked="0" layoutInCell="1" hidden="0" allowOverlap="1" wp14:anchorId="26F3FC96" wp14:editId="792DDCF5">
              <wp:simplePos x="0" y="0"/>
              <wp:positionH relativeFrom="column">
                <wp:posOffset>-111115</wp:posOffset>
              </wp:positionH>
              <wp:positionV relativeFrom="paragraph">
                <wp:posOffset>190500</wp:posOffset>
              </wp:positionV>
              <wp:extent cx="28575" cy="28575"/>
              <wp:effectExtent l="0" t="0" r="0" b="0"/>
              <wp:wrapNone/>
              <wp:docPr id="1" name="Gerade Verbindung mit Pfeil 1"/>
              <wp:cNvGraphicFramePr/>
              <a:graphic xmlns:a="http://schemas.openxmlformats.org/drawingml/2006/main">
                <a:graphicData uri="http://schemas.microsoft.com/office/word/2010/wordprocessingShape">
                  <wps:wsp>
                    <wps:cNvCnPr/>
                    <wps:spPr>
                      <a:xfrm>
                        <a:off x="2268155" y="3780000"/>
                        <a:ext cx="6155690" cy="0"/>
                      </a:xfrm>
                      <a:prstGeom prst="straightConnector1">
                        <a:avLst/>
                      </a:prstGeom>
                      <a:noFill/>
                      <a:ln w="28575" cap="flat" cmpd="sng">
                        <a:solidFill>
                          <a:srgbClr val="FF9525"/>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-111115</wp:posOffset>
              </wp:positionH>
              <wp:positionV relativeFrom="paragraph">
                <wp:posOffset>190500</wp:posOffset>
              </wp:positionV>
              <wp:extent cx="28575" cy="28575"/>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8575" cy="28575"/>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14:anchorId="6F82945E" wp14:editId="7F82D39B">
          <wp:simplePos x="0" y="0"/>
          <wp:positionH relativeFrom="column">
            <wp:posOffset>-228591</wp:posOffset>
          </wp:positionH>
          <wp:positionV relativeFrom="paragraph">
            <wp:posOffset>-457189</wp:posOffset>
          </wp:positionV>
          <wp:extent cx="1597025" cy="603885"/>
          <wp:effectExtent l="0" t="0" r="0" b="0"/>
          <wp:wrapNone/>
          <wp:docPr id="2" name="image2.png" descr="Uma imagem com Tipo de letra, Gráficos, logótipo, captura de ecrã&#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png" descr="Uma imagem com Tipo de letra, Gráficos, logótipo, captura de ecrã&#10;&#10;Descrição gerada automaticamente"/>
                  <pic:cNvPicPr preferRelativeResize="0"/>
                </pic:nvPicPr>
                <pic:blipFill>
                  <a:blip r:embed="rId2"/>
                  <a:srcRect b="30318"/>
                  <a:stretch>
                    <a:fillRect/>
                  </a:stretch>
                </pic:blipFill>
                <pic:spPr>
                  <a:xfrm>
                    <a:off x="0" y="0"/>
                    <a:ext cx="1597025" cy="603885"/>
                  </a:xfrm>
                  <a:prstGeom prst="rect">
                    <a:avLst/>
                  </a:prstGeom>
                  <a:ln/>
                </pic:spPr>
              </pic:pic>
            </a:graphicData>
          </a:graphic>
        </wp:anchor>
      </w:drawing>
    </w:r>
  </w:p>
  <w:p w14:paraId="2A2BBE59" w14:textId="77777777" w:rsidR="009940C0" w:rsidRDefault="009940C0">
    <w:pPr>
      <w:pBdr>
        <w:top w:val="nil"/>
        <w:left w:val="nil"/>
        <w:bottom w:val="nil"/>
        <w:right w:val="nil"/>
        <w:between w:val="nil"/>
      </w:pBdr>
      <w:tabs>
        <w:tab w:val="center" w:pos="4536"/>
        <w:tab w:val="right" w:pos="9072"/>
      </w:tabs>
      <w:jc w:val="right"/>
      <w:rPr>
        <w:color w:val="000000"/>
      </w:rPr>
    </w:pPr>
  </w:p>
  <w:p w14:paraId="6B321E44" w14:textId="77777777" w:rsidR="009940C0" w:rsidRDefault="009940C0">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A68D" w14:textId="77777777" w:rsidR="009940C0" w:rsidRDefault="00586621">
    <w:r>
      <w:rPr>
        <w:noProof/>
      </w:rPr>
      <w:drawing>
        <wp:anchor distT="0" distB="0" distL="114300" distR="114300" simplePos="0" relativeHeight="251660288" behindDoc="0" locked="0" layoutInCell="1" hidden="0" allowOverlap="1" wp14:anchorId="03F4E6E0" wp14:editId="6549CB0E">
          <wp:simplePos x="0" y="0"/>
          <wp:positionH relativeFrom="column">
            <wp:posOffset>114300</wp:posOffset>
          </wp:positionH>
          <wp:positionV relativeFrom="paragraph">
            <wp:posOffset>0</wp:posOffset>
          </wp:positionV>
          <wp:extent cx="1597025" cy="603885"/>
          <wp:effectExtent l="0" t="0" r="0" b="0"/>
          <wp:wrapNone/>
          <wp:docPr id="4" name="image2.png" descr="Uma imagem com Tipo de letra, Gráficos, logótipo, captura de ecrã&#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png" descr="Uma imagem com Tipo de letra, Gráficos, logótipo, captura de ecrã&#10;&#10;Descrição gerada automaticamente"/>
                  <pic:cNvPicPr preferRelativeResize="0"/>
                </pic:nvPicPr>
                <pic:blipFill>
                  <a:blip r:embed="rId1"/>
                  <a:srcRect b="30318"/>
                  <a:stretch>
                    <a:fillRect/>
                  </a:stretch>
                </pic:blipFill>
                <pic:spPr>
                  <a:xfrm>
                    <a:off x="0" y="0"/>
                    <a:ext cx="1597025" cy="60388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55B4B"/>
    <w:multiLevelType w:val="multilevel"/>
    <w:tmpl w:val="2B108E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D2D04B9"/>
    <w:multiLevelType w:val="multilevel"/>
    <w:tmpl w:val="CDC20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E506D57"/>
    <w:multiLevelType w:val="multilevel"/>
    <w:tmpl w:val="08B093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2BE6867"/>
    <w:multiLevelType w:val="multilevel"/>
    <w:tmpl w:val="185E3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800582D"/>
    <w:multiLevelType w:val="multilevel"/>
    <w:tmpl w:val="11AE96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4121420">
    <w:abstractNumId w:val="1"/>
  </w:num>
  <w:num w:numId="2" w16cid:durableId="2057852045">
    <w:abstractNumId w:val="4"/>
  </w:num>
  <w:num w:numId="3" w16cid:durableId="1087769836">
    <w:abstractNumId w:val="0"/>
  </w:num>
  <w:num w:numId="4" w16cid:durableId="75639939">
    <w:abstractNumId w:val="2"/>
  </w:num>
  <w:num w:numId="5" w16cid:durableId="238174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0C0"/>
    <w:rsid w:val="004E4E37"/>
    <w:rsid w:val="00523980"/>
    <w:rsid w:val="00586621"/>
    <w:rsid w:val="009940C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7AA4D"/>
  <w15:docId w15:val="{6FEA3326-7F89-4956-92B4-CC602291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AT"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480"/>
      <w:outlineLvl w:val="0"/>
    </w:pPr>
    <w:rPr>
      <w:rFonts w:ascii="Arial Black" w:eastAsia="Arial Black" w:hAnsi="Arial Black" w:cs="Arial Black"/>
      <w:b/>
      <w:bCs/>
      <w:color w:val="FF9525"/>
      <w:sz w:val="32"/>
      <w:szCs w:val="32"/>
    </w:rPr>
  </w:style>
  <w:style w:type="paragraph" w:styleId="berschrift2">
    <w:name w:val="heading 2"/>
    <w:basedOn w:val="Standard"/>
    <w:next w:val="Standard"/>
    <w:uiPriority w:val="9"/>
    <w:semiHidden/>
    <w:unhideWhenUsed/>
    <w:qFormat/>
    <w:pPr>
      <w:tabs>
        <w:tab w:val="left" w:pos="6928"/>
      </w:tabs>
      <w:spacing w:after="60" w:line="276" w:lineRule="auto"/>
      <w:jc w:val="both"/>
      <w:outlineLvl w:val="1"/>
    </w:pPr>
    <w:rPr>
      <w:b/>
      <w:bCs/>
      <w:color w:val="DA4800"/>
      <w:sz w:val="24"/>
      <w:szCs w:val="24"/>
    </w:rPr>
  </w:style>
  <w:style w:type="paragraph" w:styleId="berschrift3">
    <w:name w:val="heading 3"/>
    <w:basedOn w:val="Standard"/>
    <w:next w:val="Standard"/>
    <w:uiPriority w:val="9"/>
    <w:semiHidden/>
    <w:unhideWhenUsed/>
    <w:qFormat/>
    <w:pPr>
      <w:keepNext/>
      <w:spacing w:before="240"/>
      <w:outlineLvl w:val="2"/>
    </w:pPr>
    <w:rPr>
      <w:color w:val="FFCF01"/>
      <w:sz w:val="24"/>
      <w:szCs w:val="24"/>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keepNext/>
      <w:keepLines/>
      <w:spacing w:before="40"/>
      <w:outlineLvl w:val="5"/>
    </w:pPr>
    <w:rPr>
      <w:rFonts w:ascii="Calibri" w:eastAsia="Calibri" w:hAnsi="Calibri" w:cs="Calibri"/>
      <w:color w:val="913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pPr>
    <w:rPr>
      <w:b/>
      <w:bCs/>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library.imf.org/display/book/9781513516103/ch001.xml" TargetMode="External"/><Relationship Id="rId13" Type="http://schemas.openxmlformats.org/officeDocument/2006/relationships/hyperlink" Target="https://www.undp.org/sites/g/files/zskgke326/files/2023-03/Gender%20Equality%20in%20Employment%20-%20ENG.pdf" TargetMode="External"/><Relationship Id="rId18" Type="http://schemas.openxmlformats.org/officeDocument/2006/relationships/hyperlink" Target="https://pmc.ncbi.nlm.nih.gov/articles/PMC4584998/" TargetMode="External"/><Relationship Id="rId26" Type="http://schemas.openxmlformats.org/officeDocument/2006/relationships/hyperlink" Target="https://ourworldindata.org/female-labor-supply" TargetMode="External"/><Relationship Id="rId3" Type="http://schemas.openxmlformats.org/officeDocument/2006/relationships/settings" Target="settings.xml"/><Relationship Id="rId21" Type="http://schemas.openxmlformats.org/officeDocument/2006/relationships/hyperlink" Target="https://www.imd.org/blog/management/gender-bias/" TargetMode="External"/><Relationship Id="rId7" Type="http://schemas.openxmlformats.org/officeDocument/2006/relationships/hyperlink" Target="https://www.elibrary.imf.org/display/book/9781513516103/ch001.xml" TargetMode="External"/><Relationship Id="rId12" Type="http://schemas.openxmlformats.org/officeDocument/2006/relationships/hyperlink" Target="https://commission.europa.eu/strategy-and-policy/policies/justice-and-fundamental-rights/gender-equality/women-labour-market-work-life-balance/womens-situation-labour-market_en" TargetMode="External"/><Relationship Id="rId17" Type="http://schemas.openxmlformats.org/officeDocument/2006/relationships/hyperlink" Target="https://pmc.ncbi.nlm.nih.gov/articles/PMC4584998/" TargetMode="External"/><Relationship Id="rId25" Type="http://schemas.openxmlformats.org/officeDocument/2006/relationships/hyperlink" Target="https://ourworldindata.org/female-labor-supply" TargetMode="External"/><Relationship Id="rId2" Type="http://schemas.openxmlformats.org/officeDocument/2006/relationships/styles" Target="styles.xml"/><Relationship Id="rId16" Type="http://schemas.openxmlformats.org/officeDocument/2006/relationships/hyperlink" Target="https://eige.europa.eu/newsroom/economic-benefits-gender-equality?language_content_entity=en" TargetMode="External"/><Relationship Id="rId20" Type="http://schemas.openxmlformats.org/officeDocument/2006/relationships/hyperlink" Target="https://www.cogentinfo.com/resources/15-issues-women-face-at-the-workplace-and-how-to-combat-them"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ission.europa.eu/strategy-and-policy/policies/justice-and-fundamental-rights/gender-equality/women-labour-market-work-life-balance/womens-situation-labour-market_en" TargetMode="External"/><Relationship Id="rId24" Type="http://schemas.openxmlformats.org/officeDocument/2006/relationships/hyperlink" Target="https://documents1.worldbank.org/curated/en/483621554129720460/pdf/Gender-Based-Employment-Segregation-Understanding-Causes-and-Policy-Interventions.pd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ige.europa.eu/newsroom/economic-benefits-gender-equality?language_content_entity=en" TargetMode="External"/><Relationship Id="rId23" Type="http://schemas.openxmlformats.org/officeDocument/2006/relationships/hyperlink" Target="https://documents1.worldbank.org/curated/en/483621554129720460/pdf/Gender-Based-Employment-Segregation-Understanding-Causes-and-Policy-Interventions.pdf" TargetMode="External"/><Relationship Id="rId28" Type="http://schemas.openxmlformats.org/officeDocument/2006/relationships/footer" Target="footer1.xml"/><Relationship Id="rId10" Type="http://schemas.openxmlformats.org/officeDocument/2006/relationships/hyperlink" Target="https://www.oecd.org/content/dam/oecd/en/publications/reports/2024/03/gender-equality-and-economic-growth_7d0c8365/fb0a0a93-en.pdf" TargetMode="External"/><Relationship Id="rId19" Type="http://schemas.openxmlformats.org/officeDocument/2006/relationships/hyperlink" Target="https://www.cogentinfo.com/resources/15-issues-women-face-at-the-workplace-and-how-to-combat-the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ecd.org/content/dam/oecd/en/publications/reports/2024/03/gender-equality-and-economic-growth_7d0c8365/fb0a0a93-en.pdf" TargetMode="External"/><Relationship Id="rId14" Type="http://schemas.openxmlformats.org/officeDocument/2006/relationships/hyperlink" Target="https://www.undp.org/sites/g/files/zskgke326/files/2023-03/Gender%20Equality%20in%20Employment%20-%20ENG.pdf" TargetMode="External"/><Relationship Id="rId22" Type="http://schemas.openxmlformats.org/officeDocument/2006/relationships/hyperlink" Target="https://www.imd.org/blog/management/gender-bias/" TargetMode="External"/><Relationship Id="rId27" Type="http://schemas.openxmlformats.org/officeDocument/2006/relationships/header" Target="header1.xml"/><Relationship Id="rId3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1274</Words>
  <Characters>8032</Characters>
  <Application>Microsoft Office Word</Application>
  <DocSecurity>0</DocSecurity>
  <Lines>66</Lines>
  <Paragraphs>18</Paragraphs>
  <ScaleCrop>false</ScaleCrop>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Dominika Stiger</cp:lastModifiedBy>
  <cp:revision>2</cp:revision>
  <dcterms:created xsi:type="dcterms:W3CDTF">2026-09-22T13:56:00Z</dcterms:created>
  <dcterms:modified xsi:type="dcterms:W3CDTF">2026-09-22T13:57:00Z</dcterms:modified>
</cp:coreProperties>
</file>