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1"/>
          <w:szCs w:val="21"/>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30"/>
        <w:gridCol w:w="6885"/>
        <w:tblGridChange w:id="0">
          <w:tblGrid>
            <w:gridCol w:w="2130"/>
            <w:gridCol w:w="6885"/>
          </w:tblGrid>
        </w:tblGridChange>
      </w:tblGrid>
      <w:tr>
        <w:trPr>
          <w:cantSplit w:val="0"/>
          <w:trHeight w:val="406" w:hRule="atLeast"/>
          <w:tblHeader w:val="0"/>
        </w:trPr>
        <w:tc>
          <w:tcPr>
            <w:shd w:fill="ff6d25" w:val="clear"/>
          </w:tcPr>
          <w:p w:rsidR="00000000" w:rsidDel="00000000" w:rsidP="00000000" w:rsidRDefault="00000000" w:rsidRPr="00000000" w14:paraId="00000002">
            <w:pPr>
              <w:pStyle w:val="Heading1"/>
              <w:spacing w:after="60" w:before="60" w:line="276" w:lineRule="auto"/>
              <w:rPr>
                <w:rFonts w:ascii="Arial" w:cs="Arial" w:eastAsia="Arial" w:hAnsi="Arial"/>
                <w:color w:val="ffffff"/>
                <w:sz w:val="21"/>
                <w:szCs w:val="21"/>
              </w:rPr>
            </w:pPr>
            <w:r w:rsidDel="00000000" w:rsidR="00000000" w:rsidRPr="00000000">
              <w:rPr>
                <w:rFonts w:ascii="Arial" w:cs="Arial" w:eastAsia="Arial" w:hAnsi="Arial"/>
                <w:color w:val="ffffff"/>
                <w:sz w:val="21"/>
                <w:szCs w:val="21"/>
                <w:rtl w:val="0"/>
              </w:rPr>
              <w:t xml:space="preserve">Unit Title</w:t>
            </w:r>
          </w:p>
          <w:p w:rsidR="00000000" w:rsidDel="00000000" w:rsidP="00000000" w:rsidRDefault="00000000" w:rsidRPr="00000000" w14:paraId="00000003">
            <w:pPr>
              <w:spacing w:after="60" w:before="60" w:line="276" w:lineRule="auto"/>
              <w:rPr>
                <w:rFonts w:ascii="Arial" w:cs="Arial" w:eastAsia="Arial" w:hAnsi="Arial"/>
                <w:color w:val="ffffff"/>
                <w:sz w:val="21"/>
                <w:szCs w:val="21"/>
              </w:rPr>
            </w:pPr>
            <w:r w:rsidDel="00000000" w:rsidR="00000000" w:rsidRPr="00000000">
              <w:rPr>
                <w:rtl w:val="0"/>
              </w:rPr>
            </w:r>
          </w:p>
        </w:tc>
        <w:tc>
          <w:tcPr>
            <w:vAlign w:val="center"/>
          </w:tcPr>
          <w:p w:rsidR="00000000" w:rsidDel="00000000" w:rsidP="00000000" w:rsidRDefault="00000000" w:rsidRPr="00000000" w14:paraId="00000004">
            <w:pPr>
              <w:pStyle w:val="Heading1"/>
              <w:spacing w:before="0" w:line="276"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General information on female employment, best practice, management &amp; leadership approaches</w:t>
            </w:r>
          </w:p>
        </w:tc>
      </w:tr>
      <w:tr>
        <w:trPr>
          <w:cantSplit w:val="0"/>
          <w:trHeight w:val="426" w:hRule="atLeast"/>
          <w:tblHeader w:val="0"/>
        </w:trPr>
        <w:tc>
          <w:tcPr>
            <w:shd w:fill="f2f2f2" w:val="clear"/>
          </w:tcPr>
          <w:p w:rsidR="00000000" w:rsidDel="00000000" w:rsidP="00000000" w:rsidRDefault="00000000" w:rsidRPr="00000000" w14:paraId="00000005">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Duration of activity</w:t>
            </w:r>
          </w:p>
          <w:p w:rsidR="00000000" w:rsidDel="00000000" w:rsidP="00000000" w:rsidRDefault="00000000" w:rsidRPr="00000000" w14:paraId="00000006">
            <w:pPr>
              <w:spacing w:after="60" w:before="60" w:line="276" w:lineRule="auto"/>
              <w:rPr>
                <w:rFonts w:ascii="Arial" w:cs="Arial" w:eastAsia="Arial" w:hAnsi="Arial"/>
                <w:b w:val="1"/>
                <w:bCs w:val="1"/>
                <w:sz w:val="21"/>
                <w:szCs w:val="21"/>
              </w:rPr>
            </w:pPr>
            <w:r w:rsidDel="00000000" w:rsidR="00000000" w:rsidRPr="00000000">
              <w:rPr>
                <w:rtl w:val="0"/>
              </w:rPr>
            </w:r>
          </w:p>
        </w:tc>
        <w:tc>
          <w:tcPr>
            <w:vAlign w:val="center"/>
          </w:tcPr>
          <w:p w:rsidR="00000000" w:rsidDel="00000000" w:rsidP="00000000" w:rsidRDefault="00000000" w:rsidRPr="00000000" w14:paraId="00000007">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45 minutes</w:t>
            </w:r>
          </w:p>
        </w:tc>
      </w:tr>
      <w:tr>
        <w:trPr>
          <w:cantSplit w:val="0"/>
          <w:trHeight w:val="426" w:hRule="atLeast"/>
          <w:tblHeader w:val="0"/>
        </w:trPr>
        <w:tc>
          <w:tcPr>
            <w:shd w:fill="f2f2f2" w:val="clear"/>
          </w:tcPr>
          <w:p w:rsidR="00000000" w:rsidDel="00000000" w:rsidP="00000000" w:rsidRDefault="00000000" w:rsidRPr="00000000" w14:paraId="00000008">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Learning </w:t>
              <w:br w:type="textWrapping"/>
              <w:t xml:space="preserve">Outcomes</w:t>
            </w:r>
          </w:p>
        </w:tc>
        <w:tc>
          <w:tcPr/>
          <w:p w:rsidR="00000000" w:rsidDel="00000000" w:rsidP="00000000" w:rsidRDefault="00000000" w:rsidRPr="00000000" w14:paraId="00000009">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After completing this activity, the learner will be able to…</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Understand the economic and social relevance of female employment.</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Recognize common forms of discrimination and gender-based stereotypes in the workplace.</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Understand different leadership and management approaches that support diversity and inclusion.</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Identify key elements of successful implementation of diversity strategies.</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Reflect on best practice examples and evaluate their transferability to their own organization.</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Engage in discussions about inclusive leadership and its practical challenges.</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pacing w:after="160"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Draw on knowledge of innovative approaches and pilot initiatives to identify and apply new opportunities.</w:t>
            </w:r>
          </w:p>
        </w:tc>
      </w:tr>
      <w:tr>
        <w:trPr>
          <w:cantSplit w:val="0"/>
          <w:tblHeader w:val="0"/>
        </w:trPr>
        <w:tc>
          <w:tcPr>
            <w:shd w:fill="f2f2f2" w:val="clear"/>
          </w:tcPr>
          <w:p w:rsidR="00000000" w:rsidDel="00000000" w:rsidP="00000000" w:rsidRDefault="00000000" w:rsidRPr="00000000" w14:paraId="00000011">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Type of activity</w:t>
            </w:r>
          </w:p>
        </w:tc>
        <w:tc>
          <w:tcPr/>
          <w:p w:rsidR="00000000" w:rsidDel="00000000" w:rsidP="00000000" w:rsidRDefault="00000000" w:rsidRPr="00000000" w14:paraId="00000012">
            <w:pPr>
              <w:spacing w:line="276" w:lineRule="auto"/>
              <w:ind w:left="0" w:firstLine="0"/>
              <w:rPr>
                <w:rFonts w:ascii="Arial" w:cs="Arial" w:eastAsia="Arial" w:hAnsi="Arial"/>
                <w:i w:val="1"/>
                <w:iCs w:val="1"/>
                <w:sz w:val="21"/>
                <w:szCs w:val="21"/>
              </w:rPr>
            </w:pPr>
            <w:r w:rsidDel="00000000" w:rsidR="00000000" w:rsidRPr="00000000">
              <w:rPr>
                <w:rFonts w:ascii="Arial" w:cs="Arial" w:eastAsia="Arial" w:hAnsi="Arial"/>
                <w:sz w:val="21"/>
                <w:szCs w:val="21"/>
                <w:rtl w:val="0"/>
              </w:rPr>
              <w:t xml:space="preserve">Lecture with discussion</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3">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Resources</w:t>
            </w:r>
          </w:p>
        </w:tc>
        <w:tc>
          <w:tcPr/>
          <w:p w:rsidR="00000000" w:rsidDel="00000000" w:rsidP="00000000" w:rsidRDefault="00000000" w:rsidRPr="00000000" w14:paraId="00000014">
            <w:pPr>
              <w:numPr>
                <w:ilvl w:val="0"/>
                <w:numId w:val="1"/>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PowerPoint Presentation:  </w:t>
            </w:r>
          </w:p>
          <w:p w:rsidR="00000000" w:rsidDel="00000000" w:rsidP="00000000" w:rsidRDefault="00000000" w:rsidRPr="00000000" w14:paraId="00000015">
            <w:pPr>
              <w:numPr>
                <w:ilvl w:val="0"/>
                <w:numId w:val="1"/>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PDF / handout: Agenda</w:t>
            </w:r>
          </w:p>
          <w:p w:rsidR="00000000" w:rsidDel="00000000" w:rsidP="00000000" w:rsidRDefault="00000000" w:rsidRPr="00000000" w14:paraId="00000016">
            <w:pPr>
              <w:numPr>
                <w:ilvl w:val="0"/>
                <w:numId w:val="1"/>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Online resource:</w:t>
            </w:r>
          </w:p>
          <w:p w:rsidR="00000000" w:rsidDel="00000000" w:rsidP="00000000" w:rsidRDefault="00000000" w:rsidRPr="00000000" w14:paraId="00000017">
            <w:pPr>
              <w:numPr>
                <w:ilvl w:val="0"/>
                <w:numId w:val="1"/>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Flipchart:</w:t>
            </w:r>
          </w:p>
          <w:p w:rsidR="00000000" w:rsidDel="00000000" w:rsidP="00000000" w:rsidRDefault="00000000" w:rsidRPr="00000000" w14:paraId="00000018">
            <w:pPr>
              <w:numPr>
                <w:ilvl w:val="0"/>
                <w:numId w:val="1"/>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Other:</w:t>
            </w:r>
          </w:p>
        </w:tc>
      </w:tr>
      <w:tr>
        <w:trPr>
          <w:cantSplit w:val="0"/>
          <w:tblHeader w:val="0"/>
        </w:trPr>
        <w:tc>
          <w:tcPr>
            <w:shd w:fill="f2f2f2" w:val="clear"/>
          </w:tcPr>
          <w:p w:rsidR="00000000" w:rsidDel="00000000" w:rsidP="00000000" w:rsidRDefault="00000000" w:rsidRPr="00000000" w14:paraId="00000019">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Organisational </w:t>
              <w:br w:type="textWrapping"/>
              <w:t xml:space="preserve">Requirements </w:t>
            </w:r>
          </w:p>
        </w:tc>
        <w:tc>
          <w:tcPr/>
          <w:p w:rsidR="00000000" w:rsidDel="00000000" w:rsidP="00000000" w:rsidRDefault="00000000" w:rsidRPr="00000000" w14:paraId="0000001A">
            <w:pPr>
              <w:spacing w:line="276" w:lineRule="auto"/>
              <w:ind w:left="0" w:firstLine="0"/>
              <w:rPr>
                <w:rFonts w:ascii="Calibri" w:cs="Calibri" w:eastAsia="Calibri" w:hAnsi="Calibri"/>
                <w:sz w:val="21"/>
                <w:szCs w:val="21"/>
              </w:rPr>
            </w:pPr>
            <w:r w:rsidDel="00000000" w:rsidR="00000000" w:rsidRPr="00000000">
              <w:rPr>
                <w:rFonts w:ascii="Arial" w:cs="Arial" w:eastAsia="Arial" w:hAnsi="Arial"/>
                <w:sz w:val="21"/>
                <w:szCs w:val="21"/>
                <w:rtl w:val="0"/>
              </w:rPr>
              <w:t xml:space="preserve">Projector for presentations</w:t>
            </w:r>
            <w:r w:rsidDel="00000000" w:rsidR="00000000" w:rsidRPr="00000000">
              <w:rPr>
                <w:rtl w:val="0"/>
              </w:rPr>
            </w:r>
          </w:p>
        </w:tc>
      </w:tr>
      <w:tr>
        <w:trPr>
          <w:cantSplit w:val="0"/>
          <w:trHeight w:val="1597" w:hRule="atLeast"/>
          <w:tblHeader w:val="0"/>
        </w:trPr>
        <w:tc>
          <w:tcPr>
            <w:shd w:fill="f2f2f2" w:val="clear"/>
          </w:tcPr>
          <w:p w:rsidR="00000000" w:rsidDel="00000000" w:rsidP="00000000" w:rsidRDefault="00000000" w:rsidRPr="00000000" w14:paraId="0000001B">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Description of </w:t>
            </w:r>
          </w:p>
          <w:p w:rsidR="00000000" w:rsidDel="00000000" w:rsidP="00000000" w:rsidRDefault="00000000" w:rsidRPr="00000000" w14:paraId="0000001C">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activity</w:t>
            </w:r>
          </w:p>
          <w:p w:rsidR="00000000" w:rsidDel="00000000" w:rsidP="00000000" w:rsidRDefault="00000000" w:rsidRPr="00000000" w14:paraId="0000001D">
            <w:pPr>
              <w:spacing w:after="60" w:before="60" w:line="276"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1E">
            <w:pPr>
              <w:spacing w:after="220" w:before="22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Introduction</w:t>
              <w:br w:type="textWrapping"/>
            </w:r>
            <w:r w:rsidDel="00000000" w:rsidR="00000000" w:rsidRPr="00000000">
              <w:rPr>
                <w:rFonts w:ascii="Arial" w:cs="Arial" w:eastAsia="Arial" w:hAnsi="Arial"/>
                <w:sz w:val="21"/>
                <w:szCs w:val="21"/>
                <w:rtl w:val="0"/>
              </w:rPr>
              <w:t xml:space="preserve">The trainer opens the session with a brief overview of its purpose and structure, establishing ground rules for open and respectful dialogue. Participants are encouraged to reflect on their own organisational context throughout the session. The introduction highlights why gender balance is not only a question of fairness, but also a strategic driver of innovation, better decision‑making, and business performance.</w:t>
            </w:r>
          </w:p>
          <w:p w:rsidR="00000000" w:rsidDel="00000000" w:rsidP="00000000" w:rsidRDefault="00000000" w:rsidRPr="00000000" w14:paraId="0000001F">
            <w:pPr>
              <w:spacing w:after="220" w:before="22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Facts and Challenges</w:t>
              <w:br w:type="textWrapping"/>
            </w:r>
            <w:r w:rsidDel="00000000" w:rsidR="00000000" w:rsidRPr="00000000">
              <w:rPr>
                <w:rFonts w:ascii="Arial" w:cs="Arial" w:eastAsia="Arial" w:hAnsi="Arial"/>
                <w:sz w:val="21"/>
                <w:szCs w:val="21"/>
                <w:rtl w:val="0"/>
              </w:rPr>
              <w:t xml:space="preserve">The session begins with key European data illustrating the current state of female employment: gaps in employment rates, the prevalence of part‑time work among women, persistent pay inequalities, and the underrepresentation of women in leadership. These insights provide a shared foundation for discussion. Participants are invited to consider which of these patterns are visible in their own sectors or organisations.</w:t>
            </w:r>
          </w:p>
          <w:p w:rsidR="00000000" w:rsidDel="00000000" w:rsidP="00000000" w:rsidRDefault="00000000" w:rsidRPr="00000000" w14:paraId="00000020">
            <w:pPr>
              <w:spacing w:after="220" w:before="22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Workplace Challenges</w:t>
              <w:br w:type="textWrapping"/>
            </w:r>
            <w:r w:rsidDel="00000000" w:rsidR="00000000" w:rsidRPr="00000000">
              <w:rPr>
                <w:rFonts w:ascii="Arial" w:cs="Arial" w:eastAsia="Arial" w:hAnsi="Arial"/>
                <w:sz w:val="21"/>
                <w:szCs w:val="21"/>
                <w:rtl w:val="0"/>
              </w:rPr>
              <w:t xml:space="preserve">This section examines the structural barriers that affect women’s retention, advancement, and engagement. The presentation groups them into five dimensions:</w:t>
              <w:br w:type="textWrapping"/>
              <w:t xml:space="preserve">– </w:t>
            </w:r>
            <w:r w:rsidDel="00000000" w:rsidR="00000000" w:rsidRPr="00000000">
              <w:rPr>
                <w:rFonts w:ascii="Arial" w:cs="Arial" w:eastAsia="Arial" w:hAnsi="Arial"/>
                <w:b w:val="1"/>
                <w:bCs w:val="1"/>
                <w:sz w:val="21"/>
                <w:szCs w:val="21"/>
                <w:rtl w:val="0"/>
              </w:rPr>
              <w:t xml:space="preserve">Bias &amp; Behavioural Challenges</w:t>
            </w:r>
            <w:r w:rsidDel="00000000" w:rsidR="00000000" w:rsidRPr="00000000">
              <w:rPr>
                <w:rFonts w:ascii="Arial" w:cs="Arial" w:eastAsia="Arial" w:hAnsi="Arial"/>
                <w:sz w:val="21"/>
                <w:szCs w:val="21"/>
                <w:rtl w:val="0"/>
              </w:rPr>
              <w:t xml:space="preserve"> (stereotypes, implicit bias, microaggressions)</w:t>
              <w:br w:type="textWrapping"/>
              <w:t xml:space="preserve">– </w:t>
            </w:r>
            <w:r w:rsidDel="00000000" w:rsidR="00000000" w:rsidRPr="00000000">
              <w:rPr>
                <w:rFonts w:ascii="Arial" w:cs="Arial" w:eastAsia="Arial" w:hAnsi="Arial"/>
                <w:b w:val="1"/>
                <w:bCs w:val="1"/>
                <w:sz w:val="21"/>
                <w:szCs w:val="21"/>
                <w:rtl w:val="0"/>
              </w:rPr>
              <w:t xml:space="preserve">Work–Life Balance &amp; Flexibility</w:t>
            </w:r>
            <w:r w:rsidDel="00000000" w:rsidR="00000000" w:rsidRPr="00000000">
              <w:rPr>
                <w:rFonts w:ascii="Arial" w:cs="Arial" w:eastAsia="Arial" w:hAnsi="Arial"/>
                <w:sz w:val="21"/>
                <w:szCs w:val="21"/>
                <w:rtl w:val="0"/>
              </w:rPr>
              <w:t xml:space="preserve"> (care responsibilities, penalties after maternity leave, limited flexible work options)</w:t>
              <w:br w:type="textWrapping"/>
              <w:t xml:space="preserve">– </w:t>
            </w:r>
            <w:r w:rsidDel="00000000" w:rsidR="00000000" w:rsidRPr="00000000">
              <w:rPr>
                <w:rFonts w:ascii="Arial" w:cs="Arial" w:eastAsia="Arial" w:hAnsi="Arial"/>
                <w:b w:val="1"/>
                <w:bCs w:val="1"/>
                <w:sz w:val="21"/>
                <w:szCs w:val="21"/>
                <w:rtl w:val="0"/>
              </w:rPr>
              <w:t xml:space="preserve">Career Development Barriers</w:t>
            </w:r>
            <w:r w:rsidDel="00000000" w:rsidR="00000000" w:rsidRPr="00000000">
              <w:rPr>
                <w:rFonts w:ascii="Arial" w:cs="Arial" w:eastAsia="Arial" w:hAnsi="Arial"/>
                <w:sz w:val="21"/>
                <w:szCs w:val="21"/>
                <w:rtl w:val="0"/>
              </w:rPr>
              <w:t xml:space="preserve"> (early‑career bottlenecks, lack of sponsorship, limited access to networks)</w:t>
              <w:br w:type="textWrapping"/>
              <w:t xml:space="preserve">– </w:t>
            </w:r>
            <w:r w:rsidDel="00000000" w:rsidR="00000000" w:rsidRPr="00000000">
              <w:rPr>
                <w:rFonts w:ascii="Arial" w:cs="Arial" w:eastAsia="Arial" w:hAnsi="Arial"/>
                <w:b w:val="1"/>
                <w:bCs w:val="1"/>
                <w:sz w:val="21"/>
                <w:szCs w:val="21"/>
                <w:rtl w:val="0"/>
              </w:rPr>
              <w:t xml:space="preserve">Organisational Culture</w:t>
            </w:r>
            <w:r w:rsidDel="00000000" w:rsidR="00000000" w:rsidRPr="00000000">
              <w:rPr>
                <w:rFonts w:ascii="Arial" w:cs="Arial" w:eastAsia="Arial" w:hAnsi="Arial"/>
                <w:sz w:val="21"/>
                <w:szCs w:val="21"/>
                <w:rtl w:val="0"/>
              </w:rPr>
              <w:t xml:space="preserve"> (long‑hours culture, “boys’ club” dynamics, exclusion, sexist comments)</w:t>
              <w:br w:type="textWrapping"/>
              <w:t xml:space="preserve">– </w:t>
            </w:r>
            <w:r w:rsidDel="00000000" w:rsidR="00000000" w:rsidRPr="00000000">
              <w:rPr>
                <w:rFonts w:ascii="Arial" w:cs="Arial" w:eastAsia="Arial" w:hAnsi="Arial"/>
                <w:b w:val="1"/>
                <w:bCs w:val="1"/>
                <w:sz w:val="21"/>
                <w:szCs w:val="21"/>
                <w:rtl w:val="0"/>
              </w:rPr>
              <w:t xml:space="preserve">Pay &amp; Representation</w:t>
            </w:r>
            <w:r w:rsidDel="00000000" w:rsidR="00000000" w:rsidRPr="00000000">
              <w:rPr>
                <w:rFonts w:ascii="Arial" w:cs="Arial" w:eastAsia="Arial" w:hAnsi="Arial"/>
                <w:sz w:val="21"/>
                <w:szCs w:val="21"/>
                <w:rtl w:val="0"/>
              </w:rPr>
              <w:t xml:space="preserve"> (unequal pay and limited pathways to senior roles)</w:t>
              <w:br w:type="textWrapping"/>
              <w:t xml:space="preserve">The focus remains on the systemic nature of these issues rather than individual shortcomings.</w:t>
            </w:r>
          </w:p>
          <w:p w:rsidR="00000000" w:rsidDel="00000000" w:rsidP="00000000" w:rsidRDefault="00000000" w:rsidRPr="00000000" w14:paraId="00000021">
            <w:pPr>
              <w:spacing w:after="220" w:before="22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Leadership and Management Approaches</w:t>
              <w:br w:type="textWrapping"/>
            </w:r>
            <w:r w:rsidDel="00000000" w:rsidR="00000000" w:rsidRPr="00000000">
              <w:rPr>
                <w:rFonts w:ascii="Arial" w:cs="Arial" w:eastAsia="Arial" w:hAnsi="Arial"/>
                <w:sz w:val="21"/>
                <w:szCs w:val="21"/>
                <w:rtl w:val="0"/>
              </w:rPr>
              <w:t xml:space="preserve">The next part shifts from challenges to solutions. The trainer introduces inclusive leadership strategies that support women in the workplace, such as visible leadership commitment, accountability structures, family‑friendly policies, safe and respectful work environments, and fair recruitment and promotion processes. Participants are encouraged to reflect on which practices could be integrated into their own teams or organisations.</w:t>
            </w:r>
          </w:p>
          <w:p w:rsidR="00000000" w:rsidDel="00000000" w:rsidP="00000000" w:rsidRDefault="00000000" w:rsidRPr="00000000" w14:paraId="00000022">
            <w:pPr>
              <w:spacing w:after="220" w:before="22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Best Practice Examples</w:t>
              <w:br w:type="textWrapping"/>
            </w:r>
            <w:r w:rsidDel="00000000" w:rsidR="00000000" w:rsidRPr="00000000">
              <w:rPr>
                <w:rFonts w:ascii="Arial" w:cs="Arial" w:eastAsia="Arial" w:hAnsi="Arial"/>
                <w:sz w:val="21"/>
                <w:szCs w:val="21"/>
                <w:rtl w:val="0"/>
              </w:rPr>
              <w:t xml:space="preserve">The presentation showcases three real-life examples (CaixaBank, Calik Denim, Starlight Media) to illustrate how different types of organisations implement gender‑equality measures in practice. These cases provide concrete inspiration and demonstrate how structural changes, targeted programmes, and cultural shifts can lead to measurable progress. Participants then discuss which approaches could be adapted to their own context.</w:t>
            </w:r>
          </w:p>
          <w:p w:rsidR="00000000" w:rsidDel="00000000" w:rsidP="00000000" w:rsidRDefault="00000000" w:rsidRPr="00000000" w14:paraId="00000023">
            <w:pPr>
              <w:spacing w:after="220" w:before="22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Wrap‑up</w:t>
              <w:br w:type="textWrapping"/>
            </w:r>
            <w:r w:rsidDel="00000000" w:rsidR="00000000" w:rsidRPr="00000000">
              <w:rPr>
                <w:rFonts w:ascii="Arial" w:cs="Arial" w:eastAsia="Arial" w:hAnsi="Arial"/>
                <w:sz w:val="21"/>
                <w:szCs w:val="21"/>
                <w:rtl w:val="0"/>
              </w:rPr>
              <w:t xml:space="preserve">The session concludes with a summary of key insights and a final reflection question. Participants are encouraged to note down their thoughts, which can feed into the follow‑up planning session later in the day.</w:t>
            </w:r>
          </w:p>
        </w:tc>
      </w:tr>
      <w:tr>
        <w:trPr>
          <w:cantSplit w:val="0"/>
          <w:trHeight w:val="1954" w:hRule="atLeast"/>
          <w:tblHeader w:val="0"/>
        </w:trPr>
        <w:tc>
          <w:tcPr>
            <w:shd w:fill="f2f2f2" w:val="clear"/>
          </w:tcPr>
          <w:p w:rsidR="00000000" w:rsidDel="00000000" w:rsidP="00000000" w:rsidRDefault="00000000" w:rsidRPr="00000000" w14:paraId="00000024">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Trainer notes</w:t>
            </w:r>
          </w:p>
        </w:tc>
        <w:tc>
          <w:tcPr/>
          <w:p w:rsidR="00000000" w:rsidDel="00000000" w:rsidP="00000000" w:rsidRDefault="00000000" w:rsidRPr="00000000" w14:paraId="00000025">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Emphasise the economic and social value of female employment at the start.</w:t>
            </w:r>
          </w:p>
          <w:p w:rsidR="00000000" w:rsidDel="00000000" w:rsidP="00000000" w:rsidRDefault="00000000" w:rsidRPr="00000000" w14:paraId="00000026">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Encourage participants to share their own observations and experiences, while maintaining a respectful and inclusive atmosphere.</w:t>
            </w:r>
          </w:p>
          <w:p w:rsidR="00000000" w:rsidDel="00000000" w:rsidP="00000000" w:rsidRDefault="00000000" w:rsidRPr="00000000" w14:paraId="00000027">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Use guiding questions to prompt discussion.</w:t>
            </w:r>
          </w:p>
          <w:p w:rsidR="00000000" w:rsidDel="00000000" w:rsidP="00000000" w:rsidRDefault="00000000" w:rsidRPr="00000000" w14:paraId="00000028">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Keep track of time and ensure each section flows smoothly into the next.</w:t>
            </w:r>
          </w:p>
        </w:tc>
      </w:tr>
      <w:tr>
        <w:trPr>
          <w:cantSplit w:val="0"/>
          <w:trHeight w:val="416" w:hRule="atLeast"/>
          <w:tblHeader w:val="0"/>
        </w:trPr>
        <w:tc>
          <w:tcPr>
            <w:shd w:fill="f2f2f2" w:val="clear"/>
          </w:tcPr>
          <w:p w:rsidR="00000000" w:rsidDel="00000000" w:rsidP="00000000" w:rsidRDefault="00000000" w:rsidRPr="00000000" w14:paraId="00000029">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Sources/ </w:t>
              <w:br w:type="textWrapping"/>
              <w:t xml:space="preserve">Further Reading </w:t>
            </w:r>
          </w:p>
        </w:tc>
        <w:tc>
          <w:tcPr/>
          <w:p w:rsidR="00000000" w:rsidDel="00000000" w:rsidP="00000000" w:rsidRDefault="00000000" w:rsidRPr="00000000" w14:paraId="0000002A">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International Monetary Fund. (2023). Spending smarter: How efficient and well-allocated public spending can boost economic growth. IMF eLibrary.</w:t>
            </w:r>
            <w:hyperlink r:id="rId7">
              <w:r w:rsidDel="00000000" w:rsidR="00000000" w:rsidRPr="00000000">
                <w:rPr>
                  <w:rFonts w:ascii="Arial" w:cs="Arial" w:eastAsia="Arial" w:hAnsi="Arial"/>
                  <w:sz w:val="21"/>
                  <w:szCs w:val="21"/>
                  <w:rtl w:val="0"/>
                </w:rPr>
                <w:t xml:space="preserve"> </w:t>
              </w:r>
            </w:hyperlink>
            <w:hyperlink r:id="rId8">
              <w:r w:rsidDel="00000000" w:rsidR="00000000" w:rsidRPr="00000000">
                <w:rPr>
                  <w:rFonts w:ascii="Arial" w:cs="Arial" w:eastAsia="Arial" w:hAnsi="Arial"/>
                  <w:color w:val="1155cc"/>
                  <w:sz w:val="21"/>
                  <w:szCs w:val="21"/>
                  <w:u w:val="single"/>
                  <w:rtl w:val="0"/>
                </w:rPr>
                <w:t xml:space="preserve">https://www.elibrary.imf.org/display/book/9781513516103/ch001.xml</w:t>
              </w:r>
            </w:hyperlink>
            <w:r w:rsidDel="00000000" w:rsidR="00000000" w:rsidRPr="00000000">
              <w:rPr>
                <w:rtl w:val="0"/>
              </w:rPr>
            </w:r>
          </w:p>
          <w:p w:rsidR="00000000" w:rsidDel="00000000" w:rsidP="00000000" w:rsidRDefault="00000000" w:rsidRPr="00000000" w14:paraId="0000002B">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Organisation for Economic Co-operation and Development. (2024). Gender equality and economic growth. OECD Publishing.</w:t>
            </w:r>
            <w:hyperlink r:id="rId9">
              <w:r w:rsidDel="00000000" w:rsidR="00000000" w:rsidRPr="00000000">
                <w:rPr>
                  <w:rFonts w:ascii="Arial" w:cs="Arial" w:eastAsia="Arial" w:hAnsi="Arial"/>
                  <w:sz w:val="21"/>
                  <w:szCs w:val="21"/>
                  <w:rtl w:val="0"/>
                </w:rPr>
                <w:t xml:space="preserve"> </w:t>
              </w:r>
            </w:hyperlink>
            <w:hyperlink r:id="rId10">
              <w:r w:rsidDel="00000000" w:rsidR="00000000" w:rsidRPr="00000000">
                <w:rPr>
                  <w:rFonts w:ascii="Arial" w:cs="Arial" w:eastAsia="Arial" w:hAnsi="Arial"/>
                  <w:color w:val="1155cc"/>
                  <w:sz w:val="21"/>
                  <w:szCs w:val="21"/>
                  <w:u w:val="single"/>
                  <w:rtl w:val="0"/>
                </w:rPr>
                <w:t xml:space="preserve">https://www.oecd.org/content/dam/oecd/en/publications/reports/2024/03/gender-equality-and-economic-growth_7d0c8365/fb0a0a93-en.pdf</w:t>
              </w:r>
            </w:hyperlink>
            <w:r w:rsidDel="00000000" w:rsidR="00000000" w:rsidRPr="00000000">
              <w:rPr>
                <w:rtl w:val="0"/>
              </w:rPr>
            </w:r>
          </w:p>
          <w:p w:rsidR="00000000" w:rsidDel="00000000" w:rsidP="00000000" w:rsidRDefault="00000000" w:rsidRPr="00000000" w14:paraId="0000002C">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European Commission. (n.d.). Women’s situation in the labour market.</w:t>
            </w:r>
            <w:hyperlink r:id="rId11">
              <w:r w:rsidDel="00000000" w:rsidR="00000000" w:rsidRPr="00000000">
                <w:rPr>
                  <w:rFonts w:ascii="Arial" w:cs="Arial" w:eastAsia="Arial" w:hAnsi="Arial"/>
                  <w:sz w:val="21"/>
                  <w:szCs w:val="21"/>
                  <w:rtl w:val="0"/>
                </w:rPr>
                <w:t xml:space="preserve"> </w:t>
              </w:r>
            </w:hyperlink>
            <w:hyperlink r:id="rId12">
              <w:r w:rsidDel="00000000" w:rsidR="00000000" w:rsidRPr="00000000">
                <w:rPr>
                  <w:rFonts w:ascii="Arial" w:cs="Arial" w:eastAsia="Arial" w:hAnsi="Arial"/>
                  <w:color w:val="1155cc"/>
                  <w:sz w:val="21"/>
                  <w:szCs w:val="21"/>
                  <w:u w:val="single"/>
                  <w:rtl w:val="0"/>
                </w:rPr>
                <w:t xml:space="preserve">https://commission.europa.eu/strategy-and-policy/policies/justice-and-fundamental-rights/gender-equality/women-labour-market-work-life-balance/womens-situation-labour-market_en</w:t>
              </w:r>
            </w:hyperlink>
            <w:r w:rsidDel="00000000" w:rsidR="00000000" w:rsidRPr="00000000">
              <w:rPr>
                <w:rtl w:val="0"/>
              </w:rPr>
            </w:r>
          </w:p>
          <w:p w:rsidR="00000000" w:rsidDel="00000000" w:rsidP="00000000" w:rsidRDefault="00000000" w:rsidRPr="00000000" w14:paraId="0000002D">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United Nations Development Programme. (2023). Gender equality in employment.</w:t>
            </w:r>
            <w:hyperlink r:id="rId13">
              <w:r w:rsidDel="00000000" w:rsidR="00000000" w:rsidRPr="00000000">
                <w:rPr>
                  <w:rFonts w:ascii="Arial" w:cs="Arial" w:eastAsia="Arial" w:hAnsi="Arial"/>
                  <w:sz w:val="21"/>
                  <w:szCs w:val="21"/>
                  <w:rtl w:val="0"/>
                </w:rPr>
                <w:t xml:space="preserve"> </w:t>
              </w:r>
            </w:hyperlink>
            <w:hyperlink r:id="rId14">
              <w:r w:rsidDel="00000000" w:rsidR="00000000" w:rsidRPr="00000000">
                <w:rPr>
                  <w:rFonts w:ascii="Arial" w:cs="Arial" w:eastAsia="Arial" w:hAnsi="Arial"/>
                  <w:color w:val="1155cc"/>
                  <w:sz w:val="21"/>
                  <w:szCs w:val="21"/>
                  <w:u w:val="single"/>
                  <w:rtl w:val="0"/>
                </w:rPr>
                <w:t xml:space="preserve">https://www.undp.org/sites/g/files/zskgke326/files/2023-03/Gender%20Equality%20in%20Employment%20-%20ENG.pdf</w:t>
              </w:r>
            </w:hyperlink>
            <w:r w:rsidDel="00000000" w:rsidR="00000000" w:rsidRPr="00000000">
              <w:rPr>
                <w:rtl w:val="0"/>
              </w:rPr>
            </w:r>
          </w:p>
          <w:p w:rsidR="00000000" w:rsidDel="00000000" w:rsidP="00000000" w:rsidRDefault="00000000" w:rsidRPr="00000000" w14:paraId="0000002E">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European Institute for Gender Equality. (n.d.). Economic benefits of gender equality.</w:t>
            </w:r>
            <w:hyperlink r:id="rId15">
              <w:r w:rsidDel="00000000" w:rsidR="00000000" w:rsidRPr="00000000">
                <w:rPr>
                  <w:rFonts w:ascii="Arial" w:cs="Arial" w:eastAsia="Arial" w:hAnsi="Arial"/>
                  <w:sz w:val="21"/>
                  <w:szCs w:val="21"/>
                  <w:rtl w:val="0"/>
                </w:rPr>
                <w:t xml:space="preserve"> </w:t>
              </w:r>
            </w:hyperlink>
            <w:hyperlink r:id="rId16">
              <w:r w:rsidDel="00000000" w:rsidR="00000000" w:rsidRPr="00000000">
                <w:rPr>
                  <w:rFonts w:ascii="Arial" w:cs="Arial" w:eastAsia="Arial" w:hAnsi="Arial"/>
                  <w:color w:val="1155cc"/>
                  <w:sz w:val="21"/>
                  <w:szCs w:val="21"/>
                  <w:u w:val="single"/>
                  <w:rtl w:val="0"/>
                </w:rPr>
                <w:t xml:space="preserve">https://eige.europa.eu/newsroom/economic-benefits-gender-equality?language_content_entity=en</w:t>
              </w:r>
            </w:hyperlink>
            <w:r w:rsidDel="00000000" w:rsidR="00000000" w:rsidRPr="00000000">
              <w:rPr>
                <w:rtl w:val="0"/>
              </w:rPr>
            </w:r>
          </w:p>
          <w:p w:rsidR="00000000" w:rsidDel="00000000" w:rsidP="00000000" w:rsidRDefault="00000000" w:rsidRPr="00000000" w14:paraId="0000002F">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Miller, K., &amp; Vagins, D. B. (2015). Workplace inequality persists: Discrimination and bias against women. Journal of Women's Health, 24(10), 837–839.</w:t>
            </w:r>
            <w:hyperlink r:id="rId17">
              <w:r w:rsidDel="00000000" w:rsidR="00000000" w:rsidRPr="00000000">
                <w:rPr>
                  <w:rFonts w:ascii="Arial" w:cs="Arial" w:eastAsia="Arial" w:hAnsi="Arial"/>
                  <w:sz w:val="21"/>
                  <w:szCs w:val="21"/>
                  <w:rtl w:val="0"/>
                </w:rPr>
                <w:t xml:space="preserve"> </w:t>
              </w:r>
            </w:hyperlink>
            <w:hyperlink r:id="rId18">
              <w:r w:rsidDel="00000000" w:rsidR="00000000" w:rsidRPr="00000000">
                <w:rPr>
                  <w:rFonts w:ascii="Arial" w:cs="Arial" w:eastAsia="Arial" w:hAnsi="Arial"/>
                  <w:color w:val="1155cc"/>
                  <w:sz w:val="21"/>
                  <w:szCs w:val="21"/>
                  <w:u w:val="single"/>
                  <w:rtl w:val="0"/>
                </w:rPr>
                <w:t xml:space="preserve">https://pmc.ncbi.nlm.nih.gov/articles/PMC4584998/</w:t>
              </w:r>
            </w:hyperlink>
            <w:r w:rsidDel="00000000" w:rsidR="00000000" w:rsidRPr="00000000">
              <w:rPr>
                <w:rtl w:val="0"/>
              </w:rPr>
            </w:r>
          </w:p>
          <w:p w:rsidR="00000000" w:rsidDel="00000000" w:rsidP="00000000" w:rsidRDefault="00000000" w:rsidRPr="00000000" w14:paraId="00000030">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Cogent Info. (n.d.). 15 issues women face at the workplace and how to combat them.</w:t>
            </w:r>
            <w:hyperlink r:id="rId19">
              <w:r w:rsidDel="00000000" w:rsidR="00000000" w:rsidRPr="00000000">
                <w:rPr>
                  <w:rFonts w:ascii="Arial" w:cs="Arial" w:eastAsia="Arial" w:hAnsi="Arial"/>
                  <w:sz w:val="21"/>
                  <w:szCs w:val="21"/>
                  <w:rtl w:val="0"/>
                </w:rPr>
                <w:t xml:space="preserve"> </w:t>
              </w:r>
            </w:hyperlink>
            <w:hyperlink r:id="rId20">
              <w:r w:rsidDel="00000000" w:rsidR="00000000" w:rsidRPr="00000000">
                <w:rPr>
                  <w:rFonts w:ascii="Arial" w:cs="Arial" w:eastAsia="Arial" w:hAnsi="Arial"/>
                  <w:color w:val="1155cc"/>
                  <w:sz w:val="21"/>
                  <w:szCs w:val="21"/>
                  <w:u w:val="single"/>
                  <w:rtl w:val="0"/>
                </w:rPr>
                <w:t xml:space="preserve">https://www.cogentinfo.com/resources/15-issues-women-face-at-the-workplace-and-how-to-combat-them</w:t>
              </w:r>
            </w:hyperlink>
            <w:r w:rsidDel="00000000" w:rsidR="00000000" w:rsidRPr="00000000">
              <w:rPr>
                <w:rtl w:val="0"/>
              </w:rPr>
            </w:r>
          </w:p>
          <w:p w:rsidR="00000000" w:rsidDel="00000000" w:rsidP="00000000" w:rsidRDefault="00000000" w:rsidRPr="00000000" w14:paraId="00000031">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International Institute for Management Development. (n.d.). Gender bias: Why it persists and how to tackle it.</w:t>
            </w:r>
            <w:hyperlink r:id="rId21">
              <w:r w:rsidDel="00000000" w:rsidR="00000000" w:rsidRPr="00000000">
                <w:rPr>
                  <w:rFonts w:ascii="Arial" w:cs="Arial" w:eastAsia="Arial" w:hAnsi="Arial"/>
                  <w:sz w:val="21"/>
                  <w:szCs w:val="21"/>
                  <w:rtl w:val="0"/>
                </w:rPr>
                <w:t xml:space="preserve"> </w:t>
              </w:r>
            </w:hyperlink>
            <w:hyperlink r:id="rId22">
              <w:r w:rsidDel="00000000" w:rsidR="00000000" w:rsidRPr="00000000">
                <w:rPr>
                  <w:rFonts w:ascii="Arial" w:cs="Arial" w:eastAsia="Arial" w:hAnsi="Arial"/>
                  <w:color w:val="1155cc"/>
                  <w:sz w:val="21"/>
                  <w:szCs w:val="21"/>
                  <w:u w:val="single"/>
                  <w:rtl w:val="0"/>
                </w:rPr>
                <w:t xml:space="preserve">https://www.imd.org/blog/management/gender-bias/</w:t>
              </w:r>
            </w:hyperlink>
            <w:r w:rsidDel="00000000" w:rsidR="00000000" w:rsidRPr="00000000">
              <w:rPr>
                <w:rtl w:val="0"/>
              </w:rPr>
            </w:r>
          </w:p>
          <w:p w:rsidR="00000000" w:rsidDel="00000000" w:rsidP="00000000" w:rsidRDefault="00000000" w:rsidRPr="00000000" w14:paraId="00000032">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Carranza, E., Das, S., &amp; Kotikula, A. (2018). Gender-based employment segregation: Understanding causes and policy interventions. World Bank.</w:t>
            </w:r>
            <w:hyperlink r:id="rId23">
              <w:r w:rsidDel="00000000" w:rsidR="00000000" w:rsidRPr="00000000">
                <w:rPr>
                  <w:rFonts w:ascii="Arial" w:cs="Arial" w:eastAsia="Arial" w:hAnsi="Arial"/>
                  <w:sz w:val="21"/>
                  <w:szCs w:val="21"/>
                  <w:rtl w:val="0"/>
                </w:rPr>
                <w:t xml:space="preserve"> </w:t>
              </w:r>
            </w:hyperlink>
            <w:hyperlink r:id="rId24">
              <w:r w:rsidDel="00000000" w:rsidR="00000000" w:rsidRPr="00000000">
                <w:rPr>
                  <w:rFonts w:ascii="Arial" w:cs="Arial" w:eastAsia="Arial" w:hAnsi="Arial"/>
                  <w:color w:val="1155cc"/>
                  <w:sz w:val="21"/>
                  <w:szCs w:val="21"/>
                  <w:u w:val="single"/>
                  <w:rtl w:val="0"/>
                </w:rPr>
                <w:t xml:space="preserve">https://documents1.worldbank.org/curated/en/483621554129720460/pdf/Gender-Based-Employment-Segregation-Understanding-Causes-and-Policy-Interventions.pdf</w:t>
              </w:r>
            </w:hyperlink>
            <w:r w:rsidDel="00000000" w:rsidR="00000000" w:rsidRPr="00000000">
              <w:rPr>
                <w:rtl w:val="0"/>
              </w:rPr>
            </w:r>
          </w:p>
          <w:p w:rsidR="00000000" w:rsidDel="00000000" w:rsidP="00000000" w:rsidRDefault="00000000" w:rsidRPr="00000000" w14:paraId="00000033">
            <w:pPr>
              <w:numPr>
                <w:ilvl w:val="0"/>
                <w:numId w:val="3"/>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Ortiz-Ospina, E., Tzvetkova, S., &amp; Roser, M. (2024). Female labor supply. Our World in Data.</w:t>
            </w:r>
            <w:hyperlink r:id="rId25">
              <w:r w:rsidDel="00000000" w:rsidR="00000000" w:rsidRPr="00000000">
                <w:rPr>
                  <w:rFonts w:ascii="Arial" w:cs="Arial" w:eastAsia="Arial" w:hAnsi="Arial"/>
                  <w:sz w:val="21"/>
                  <w:szCs w:val="21"/>
                  <w:rtl w:val="0"/>
                </w:rPr>
                <w:t xml:space="preserve"> </w:t>
              </w:r>
            </w:hyperlink>
            <w:hyperlink r:id="rId26">
              <w:r w:rsidDel="00000000" w:rsidR="00000000" w:rsidRPr="00000000">
                <w:rPr>
                  <w:rFonts w:ascii="Arial" w:cs="Arial" w:eastAsia="Arial" w:hAnsi="Arial"/>
                  <w:color w:val="1155cc"/>
                  <w:sz w:val="21"/>
                  <w:szCs w:val="21"/>
                  <w:u w:val="single"/>
                  <w:rtl w:val="0"/>
                </w:rPr>
                <w:t xml:space="preserve">https://ourworldindata.org/female-labor-supply</w:t>
              </w:r>
            </w:hyperlink>
            <w:r w:rsidDel="00000000" w:rsidR="00000000" w:rsidRPr="00000000">
              <w:rPr>
                <w:rtl w:val="0"/>
              </w:rPr>
            </w:r>
          </w:p>
        </w:tc>
      </w:tr>
      <w:tr>
        <w:trPr>
          <w:cantSplit w:val="0"/>
          <w:trHeight w:val="416" w:hRule="atLeast"/>
          <w:tblHeader w:val="0"/>
        </w:trPr>
        <w:tc>
          <w:tcPr>
            <w:shd w:fill="f2f2f2" w:val="clear"/>
          </w:tcPr>
          <w:p w:rsidR="00000000" w:rsidDel="00000000" w:rsidP="00000000" w:rsidRDefault="00000000" w:rsidRPr="00000000" w14:paraId="00000034">
            <w:pPr>
              <w:spacing w:after="60" w:before="60" w:line="276" w:lineRule="auto"/>
              <w:rPr>
                <w:b w:val="1"/>
                <w:bCs w:val="1"/>
                <w:sz w:val="21"/>
                <w:szCs w:val="21"/>
              </w:rPr>
            </w:pPr>
            <w:r w:rsidDel="00000000" w:rsidR="00000000" w:rsidRPr="00000000">
              <w:rPr>
                <w:rFonts w:ascii="Arial" w:cs="Arial" w:eastAsia="Arial" w:hAnsi="Arial"/>
                <w:b w:val="1"/>
                <w:bCs w:val="1"/>
                <w:sz w:val="21"/>
                <w:szCs w:val="21"/>
                <w:rtl w:val="0"/>
              </w:rPr>
              <w:t xml:space="preserve">File name</w:t>
            </w:r>
            <w:r w:rsidDel="00000000" w:rsidR="00000000" w:rsidRPr="00000000">
              <w:rPr>
                <w:rtl w:val="0"/>
              </w:rPr>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76" w:lineRule="auto"/>
              <w:rPr>
                <w:sz w:val="21"/>
                <w:szCs w:val="21"/>
              </w:rPr>
            </w:pPr>
            <w:r w:rsidDel="00000000" w:rsidR="00000000" w:rsidRPr="00000000">
              <w:rPr>
                <w:rFonts w:ascii="Arial" w:cs="Arial" w:eastAsia="Arial" w:hAnsi="Arial"/>
                <w:b w:val="1"/>
                <w:bCs w:val="1"/>
                <w:sz w:val="21"/>
                <w:szCs w:val="21"/>
                <w:rtl w:val="0"/>
              </w:rPr>
              <w:t xml:space="preserve">Day1_Unit3_general_female employment_ppt </w:t>
            </w:r>
            <w:r w:rsidDel="00000000" w:rsidR="00000000" w:rsidRPr="00000000">
              <w:rPr>
                <w:rtl w:val="0"/>
              </w:rPr>
            </w:r>
          </w:p>
        </w:tc>
      </w:tr>
    </w:tbl>
    <w:p w:rsidR="00000000" w:rsidDel="00000000" w:rsidP="00000000" w:rsidRDefault="00000000" w:rsidRPr="00000000" w14:paraId="00000036">
      <w:pPr>
        <w:rPr>
          <w:rFonts w:ascii="Arial Black" w:cs="Arial Black" w:eastAsia="Arial Black" w:hAnsi="Arial Black"/>
          <w:b w:val="1"/>
          <w:bCs w:val="1"/>
          <w:color w:val="ff9525"/>
          <w:sz w:val="21"/>
          <w:szCs w:val="21"/>
        </w:rPr>
      </w:pPr>
      <w:r w:rsidDel="00000000" w:rsidR="00000000" w:rsidRPr="00000000">
        <w:rPr>
          <w:rtl w:val="0"/>
        </w:rPr>
      </w:r>
    </w:p>
    <w:sectPr>
      <w:headerReference r:id="rId27" w:type="default"/>
      <w:footerReference r:id="rId28" w:type="default"/>
      <w:footerReference r:id="rId29" w:type="first"/>
      <w:pgSz w:h="16837" w:w="11905" w:orient="portrait"/>
      <w:pgMar w:bottom="851" w:top="1276" w:left="1134" w:right="1134" w:header="851" w:footer="32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color="e7e6e6" w:space="1" w:sz="4" w:val="single"/>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1525590</wp:posOffset>
              </wp:positionH>
              <wp:positionV relativeFrom="paragraph">
                <wp:posOffset>-16184</wp:posOffset>
              </wp:positionV>
              <wp:extent cx="4695825" cy="1009746"/>
              <wp:effectExtent b="0" l="0" r="0" t="0"/>
              <wp:wrapNone/>
              <wp:docPr id="1969693613" name=""/>
              <a:graphic>
                <a:graphicData uri="http://schemas.microsoft.com/office/word/2010/wordprocessingShape">
                  <wps:wsp>
                    <wps:cNvSpPr/>
                    <wps:cNvPr id="2" name="Shape 2"/>
                    <wps:spPr>
                      <a:xfrm>
                        <a:off x="3036505" y="3077690"/>
                        <a:ext cx="4618990" cy="140462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1"/>
                              <w:smallCaps w:val="0"/>
                              <w:strike w:val="0"/>
                              <w:color w:val="000000"/>
                              <w:sz w:val="16"/>
                              <w:vertAlign w:val="baseline"/>
                            </w:rPr>
                            <w:t xml:space="preserve">Funded by the European Union. Views and opinions expressed are however those of the author(s) only and do not necessarily reflect those of the European Union or OeAD-GmbH. Neither the European Union nor the granting authority can be held responsible for them.</w:t>
                          </w:r>
                          <w:r w:rsidDel="00000000" w:rsidR="00000000" w:rsidRPr="00000000">
                            <w:rPr>
                              <w:rFonts w:ascii="Arial" w:cs="Arial" w:eastAsia="Arial" w:hAnsi="Arial"/>
                              <w:b w:val="0"/>
                              <w:i w:val="0"/>
                              <w:smallCaps w:val="0"/>
                              <w:strike w:val="0"/>
                              <w:color w:val="000000"/>
                              <w:sz w:val="14"/>
                              <w:vertAlign w:val="baseline"/>
                            </w:rPr>
                            <w:br w:type="textWrapping"/>
                          </w:r>
                          <w:r w:rsidDel="00000000" w:rsidR="00000000" w:rsidRPr="00000000">
                            <w:rPr>
                              <w:rFonts w:ascii="Arial" w:cs="Arial" w:eastAsia="Arial" w:hAnsi="Arial"/>
                              <w:b w:val="0"/>
                              <w:i w:val="0"/>
                              <w:smallCaps w:val="0"/>
                              <w:strike w:val="0"/>
                              <w:color w:val="000000"/>
                              <w:sz w:val="14"/>
                              <w:vertAlign w:val="baseline"/>
                            </w:rPr>
                            <w:t xml:space="preserve">Project N° 2023-1-AT01-KA220-VET-000152934</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1525590</wp:posOffset>
              </wp:positionH>
              <wp:positionV relativeFrom="paragraph">
                <wp:posOffset>-16184</wp:posOffset>
              </wp:positionV>
              <wp:extent cx="4695825" cy="1009746"/>
              <wp:effectExtent b="0" l="0" r="0" t="0"/>
              <wp:wrapNone/>
              <wp:docPr id="196969361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695825" cy="1009746"/>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-5706</wp:posOffset>
          </wp:positionH>
          <wp:positionV relativeFrom="paragraph">
            <wp:posOffset>113662</wp:posOffset>
          </wp:positionV>
          <wp:extent cx="1466850" cy="309380"/>
          <wp:effectExtent b="0" l="0" r="0" t="0"/>
          <wp:wrapNone/>
          <wp:docPr id="1969693615"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466850" cy="309380"/>
                  </a:xfrm>
                  <a:prstGeom prst="rect"/>
                  <a:ln/>
                </pic:spPr>
              </pic:pic>
            </a:graphicData>
          </a:graphic>
        </wp:anchor>
      </w:drawing>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36"/>
        <w:tab w:val="right" w:leader="none" w:pos="9072"/>
        <w:tab w:val="left" w:leader="none" w:pos="328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536"/>
        <w:tab w:val="right" w:leader="none" w:pos="9072"/>
      </w:tabs>
      <w:rPr>
        <w:color w:val="000000"/>
        <w:sz w:val="18"/>
        <w:szCs w:val="18"/>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tabs>
        <w:tab w:val="center" w:leader="none" w:pos="4536"/>
        <w:tab w:val="right" w:leader="none" w:pos="9072"/>
      </w:tabs>
      <w:rPr>
        <w:sz w:val="21"/>
        <w:szCs w:val="2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-96829</wp:posOffset>
              </wp:positionH>
              <wp:positionV relativeFrom="paragraph">
                <wp:posOffset>190500</wp:posOffset>
              </wp:positionV>
              <wp:extent cx="0" cy="28575"/>
              <wp:effectExtent b="0" l="0" r="0" t="0"/>
              <wp:wrapNone/>
              <wp:docPr id="1969693614" name=""/>
              <a:graphic>
                <a:graphicData uri="http://schemas.microsoft.com/office/word/2010/wordprocessingShape">
                  <wps:wsp>
                    <wps:cNvCnPr/>
                    <wps:spPr>
                      <a:xfrm>
                        <a:off x="2268155" y="3780000"/>
                        <a:ext cx="6155690" cy="0"/>
                      </a:xfrm>
                      <a:prstGeom prst="straightConnector1">
                        <a:avLst/>
                      </a:prstGeom>
                      <a:noFill/>
                      <a:ln cap="flat" cmpd="sng" w="28575">
                        <a:solidFill>
                          <a:srgbClr val="FF9525"/>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-96829</wp:posOffset>
              </wp:positionH>
              <wp:positionV relativeFrom="paragraph">
                <wp:posOffset>190500</wp:posOffset>
              </wp:positionV>
              <wp:extent cx="0" cy="28575"/>
              <wp:effectExtent b="0" l="0" r="0" t="0"/>
              <wp:wrapNone/>
              <wp:docPr id="196969361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285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-228592</wp:posOffset>
          </wp:positionH>
          <wp:positionV relativeFrom="paragraph">
            <wp:posOffset>-457190</wp:posOffset>
          </wp:positionV>
          <wp:extent cx="1597025" cy="603885"/>
          <wp:effectExtent b="0" l="0" r="0" t="0"/>
          <wp:wrapNone/>
          <wp:docPr descr="Uma imagem com Tipo de letra, Gráficos, logótipo, captura de ecrã&#10;&#10;Descrição gerada automaticamente" id="1969693616" name="image1.png"/>
          <a:graphic>
            <a:graphicData uri="http://schemas.openxmlformats.org/drawingml/2006/picture">
              <pic:pic>
                <pic:nvPicPr>
                  <pic:cNvPr descr="Uma imagem com Tipo de letra, Gráficos, logótipo, captura de ecrã&#10;&#10;Descrição gerada automaticamente" id="0" name="image1.png"/>
                  <pic:cNvPicPr preferRelativeResize="0"/>
                </pic:nvPicPr>
                <pic:blipFill>
                  <a:blip r:embed="rId2"/>
                  <a:srcRect b="30318" l="0" r="0" t="0"/>
                  <a:stretch>
                    <a:fillRect/>
                  </a:stretch>
                </pic:blipFill>
                <pic:spPr>
                  <a:xfrm>
                    <a:off x="0" y="0"/>
                    <a:ext cx="1597025" cy="603885"/>
                  </a:xfrm>
                  <a:prstGeom prst="rect"/>
                  <a:ln/>
                </pic:spPr>
              </pic:pic>
            </a:graphicData>
          </a:graphic>
        </wp:anchor>
      </w:drawing>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480" w:lineRule="auto"/>
    </w:pPr>
    <w:rPr>
      <w:rFonts w:ascii="Arial Black" w:cs="Arial Black" w:eastAsia="Arial Black" w:hAnsi="Arial Black"/>
      <w:b w:val="1"/>
      <w:bCs w:val="1"/>
      <w:color w:val="ff9525"/>
      <w:sz w:val="32"/>
      <w:szCs w:val="32"/>
    </w:rPr>
  </w:style>
  <w:style w:type="paragraph" w:styleId="Heading2">
    <w:name w:val="heading 2"/>
    <w:basedOn w:val="Normal"/>
    <w:next w:val="Normal"/>
    <w:pPr>
      <w:tabs>
        <w:tab w:val="left" w:leader="none" w:pos="6928"/>
      </w:tabs>
      <w:spacing w:after="60" w:line="276" w:lineRule="auto"/>
      <w:jc w:val="both"/>
    </w:pPr>
    <w:rPr>
      <w:b w:val="1"/>
      <w:bCs w:val="1"/>
      <w:color w:val="da4800"/>
      <w:sz w:val="24"/>
      <w:szCs w:val="24"/>
    </w:rPr>
  </w:style>
  <w:style w:type="paragraph" w:styleId="Heading3">
    <w:name w:val="heading 3"/>
    <w:basedOn w:val="Normal"/>
    <w:next w:val="Normal"/>
    <w:pPr>
      <w:keepNext w:val="1"/>
      <w:spacing w:before="240" w:lineRule="auto"/>
    </w:pPr>
    <w:rPr>
      <w:color w:val="ffcf0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rFonts w:ascii="Calibri" w:cs="Calibri" w:eastAsia="Calibri" w:hAnsi="Calibri"/>
      <w:color w:val="913000"/>
    </w:rPr>
  </w:style>
  <w:style w:type="paragraph" w:styleId="Title">
    <w:name w:val="Title"/>
    <w:basedOn w:val="Normal"/>
    <w:next w:val="Normal"/>
    <w:pPr>
      <w:keepNext w:val="1"/>
      <w:keepLines w:val="1"/>
      <w:spacing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0.0" w:type="dxa"/>
        <w:left w:w="0.0" w:type="dxa"/>
        <w:bottom w:w="0.0" w:type="dxa"/>
        <w:right w:w="0.0" w:type="dxa"/>
      </w:tblCellMar>
    </w:tblPr>
  </w:style>
  <w:style w:type="table" w:styleId="TableNormal3" w:customStyle="1">
    <w:name w:val="TableNormal"/>
    <w:tblPr>
      <w:tblCellMar>
        <w:top w:w="0.0" w:type="dxa"/>
        <w:left w:w="0.0" w:type="dxa"/>
        <w:bottom w:w="0.0" w:type="dxa"/>
        <w:right w:w="0.0" w:type="dxa"/>
      </w:tblCellMar>
    </w:tblPr>
  </w:style>
  <w:style w:type="table" w:styleId="TableNormal4" w:customStyle="1">
    <w:name w:val="TableNormal"/>
    <w:tblPr>
      <w:tblCellMar>
        <w:top w:w="0.0" w:type="dxa"/>
        <w:left w:w="0.0" w:type="dxa"/>
        <w:bottom w:w="0.0" w:type="dxa"/>
        <w:right w:w="0.0" w:type="dxa"/>
      </w:tblCellMar>
    </w:tblPr>
  </w:style>
  <w:style w:type="character" w:styleId="WW8Num1z0" w:customStyle="1">
    <w:name w:val="WW8Num1z0"/>
    <w:rsid w:val="00AD16B6"/>
    <w:rPr>
      <w:rFonts w:ascii="Symbol" w:hAnsi="Symbol"/>
      <w:sz w:val="16"/>
      <w:szCs w:val="16"/>
    </w:rPr>
  </w:style>
  <w:style w:type="character" w:styleId="WW8Num1z1" w:customStyle="1">
    <w:name w:val="WW8Num1z1"/>
    <w:rsid w:val="00AD16B6"/>
    <w:rPr>
      <w:rFonts w:ascii="Courier New" w:cs="Courier New" w:hAnsi="Courier New"/>
    </w:rPr>
  </w:style>
  <w:style w:type="character" w:styleId="WW8Num1z2" w:customStyle="1">
    <w:name w:val="WW8Num1z2"/>
    <w:rsid w:val="00AD16B6"/>
    <w:rPr>
      <w:rFonts w:ascii="Wingdings" w:hAnsi="Wingdings"/>
    </w:rPr>
  </w:style>
  <w:style w:type="character" w:styleId="WW8Num1z3" w:customStyle="1">
    <w:name w:val="WW8Num1z3"/>
    <w:rsid w:val="00AD16B6"/>
    <w:rPr>
      <w:rFonts w:ascii="Symbol" w:hAnsi="Symbol"/>
    </w:rPr>
  </w:style>
  <w:style w:type="character" w:styleId="WW8Num15z0" w:customStyle="1">
    <w:name w:val="WW8Num15z0"/>
    <w:rsid w:val="00AD16B6"/>
    <w:rPr>
      <w:rFonts w:ascii="Symbol" w:hAnsi="Symbol"/>
      <w:sz w:val="16"/>
      <w:szCs w:val="16"/>
    </w:rPr>
  </w:style>
  <w:style w:type="character" w:styleId="WW8Num15z1" w:customStyle="1">
    <w:name w:val="WW8Num15z1"/>
    <w:rsid w:val="00AD16B6"/>
    <w:rPr>
      <w:rFonts w:ascii="Courier New" w:cs="Courier New" w:hAnsi="Courier New"/>
    </w:rPr>
  </w:style>
  <w:style w:type="character" w:styleId="WW8Num15z2" w:customStyle="1">
    <w:name w:val="WW8Num15z2"/>
    <w:rsid w:val="00AD16B6"/>
    <w:rPr>
      <w:rFonts w:ascii="Wingdings" w:hAnsi="Wingdings"/>
    </w:rPr>
  </w:style>
  <w:style w:type="character" w:styleId="WW8Num15z3" w:customStyle="1">
    <w:name w:val="WW8Num15z3"/>
    <w:rsid w:val="00AD16B6"/>
    <w:rPr>
      <w:rFonts w:ascii="Symbol" w:hAnsi="Symbol"/>
    </w:rPr>
  </w:style>
  <w:style w:type="character" w:styleId="WW8Num16z0" w:customStyle="1">
    <w:name w:val="WW8Num16z0"/>
    <w:rsid w:val="00AD16B6"/>
    <w:rPr>
      <w:rFonts w:ascii="Trebuchet MS" w:cs="Times New Roman" w:eastAsia="Times New Roman" w:hAnsi="Trebuchet MS"/>
    </w:rPr>
  </w:style>
  <w:style w:type="character" w:styleId="WW8Num16z1" w:customStyle="1">
    <w:name w:val="WW8Num16z1"/>
    <w:rsid w:val="00AD16B6"/>
    <w:rPr>
      <w:rFonts w:ascii="Courier New" w:cs="Courier New" w:hAnsi="Courier New"/>
    </w:rPr>
  </w:style>
  <w:style w:type="character" w:styleId="WW8Num16z2" w:customStyle="1">
    <w:name w:val="WW8Num16z2"/>
    <w:rsid w:val="00AD16B6"/>
    <w:rPr>
      <w:rFonts w:ascii="Wingdings" w:hAnsi="Wingdings"/>
    </w:rPr>
  </w:style>
  <w:style w:type="character" w:styleId="WW8Num16z3" w:customStyle="1">
    <w:name w:val="WW8Num16z3"/>
    <w:rsid w:val="00AD16B6"/>
    <w:rPr>
      <w:rFonts w:ascii="Symbol" w:hAnsi="Symbol"/>
    </w:rPr>
  </w:style>
  <w:style w:type="character" w:styleId="WW8Num18z0" w:customStyle="1">
    <w:name w:val="WW8Num18z0"/>
    <w:rsid w:val="00AD16B6"/>
    <w:rPr>
      <w:rFonts w:ascii="Arial" w:cs="Arial" w:hAnsi="Arial"/>
      <w:sz w:val="24"/>
    </w:rPr>
  </w:style>
  <w:style w:type="character" w:styleId="WW8Num21z0" w:customStyle="1">
    <w:name w:val="WW8Num21z0"/>
    <w:rsid w:val="00AD16B6"/>
    <w:rPr>
      <w:rFonts w:ascii="Symbol" w:hAnsi="Symbol"/>
      <w:sz w:val="16"/>
      <w:szCs w:val="16"/>
    </w:rPr>
  </w:style>
  <w:style w:type="character" w:styleId="WW8Num21z1" w:customStyle="1">
    <w:name w:val="WW8Num21z1"/>
    <w:rsid w:val="00AD16B6"/>
    <w:rPr>
      <w:rFonts w:ascii="Courier New" w:cs="Courier New" w:hAnsi="Courier New"/>
    </w:rPr>
  </w:style>
  <w:style w:type="character" w:styleId="WW8Num21z2" w:customStyle="1">
    <w:name w:val="WW8Num21z2"/>
    <w:rsid w:val="00AD16B6"/>
    <w:rPr>
      <w:rFonts w:ascii="Wingdings" w:hAnsi="Wingdings"/>
    </w:rPr>
  </w:style>
  <w:style w:type="character" w:styleId="WW8Num21z3" w:customStyle="1">
    <w:name w:val="WW8Num21z3"/>
    <w:rsid w:val="00AD16B6"/>
    <w:rPr>
      <w:rFonts w:ascii="Symbol" w:hAnsi="Symbol"/>
    </w:rPr>
  </w:style>
  <w:style w:type="character" w:styleId="WW8Num25z0" w:customStyle="1">
    <w:name w:val="WW8Num25z0"/>
    <w:rsid w:val="00AD16B6"/>
    <w:rPr>
      <w:rFonts w:ascii="Symbol" w:hAnsi="Symbol"/>
      <w:sz w:val="16"/>
      <w:szCs w:val="16"/>
    </w:rPr>
  </w:style>
  <w:style w:type="character" w:styleId="WW8Num25z1" w:customStyle="1">
    <w:name w:val="WW8Num25z1"/>
    <w:rsid w:val="00AD16B6"/>
    <w:rPr>
      <w:rFonts w:ascii="Courier New" w:cs="Courier New" w:hAnsi="Courier New"/>
    </w:rPr>
  </w:style>
  <w:style w:type="character" w:styleId="WW8Num25z2" w:customStyle="1">
    <w:name w:val="WW8Num25z2"/>
    <w:rsid w:val="00AD16B6"/>
    <w:rPr>
      <w:rFonts w:ascii="Wingdings" w:hAnsi="Wingdings"/>
    </w:rPr>
  </w:style>
  <w:style w:type="character" w:styleId="WW8Num25z3" w:customStyle="1">
    <w:name w:val="WW8Num25z3"/>
    <w:rsid w:val="00AD16B6"/>
    <w:rPr>
      <w:rFonts w:ascii="Symbol" w:hAnsi="Symbol"/>
    </w:rPr>
  </w:style>
  <w:style w:type="character" w:styleId="Absatz-Standardschriftart1" w:customStyle="1">
    <w:name w:val="Absatz-Standardschriftart1"/>
    <w:rsid w:val="00AD16B6"/>
  </w:style>
  <w:style w:type="character" w:styleId="Hyperlink">
    <w:name w:val="Hyperlink"/>
    <w:uiPriority w:val="99"/>
    <w:rsid w:val="00AD16B6"/>
    <w:rPr>
      <w:color w:val="0000ff"/>
      <w:u w:val="single"/>
    </w:rPr>
  </w:style>
  <w:style w:type="character" w:styleId="BesuchterLink">
    <w:name w:val="FollowedHyperlink"/>
    <w:semiHidden w:val="1"/>
    <w:rsid w:val="00AD16B6"/>
    <w:rPr>
      <w:color w:val="800080"/>
      <w:u w:val="single"/>
    </w:rPr>
  </w:style>
  <w:style w:type="character" w:styleId="Fett">
    <w:name w:val="Strong"/>
    <w:uiPriority w:val="22"/>
    <w:qFormat w:val="1"/>
    <w:rsid w:val="00AD16B6"/>
    <w:rPr>
      <w:b w:val="1"/>
      <w:bCs w:val="1"/>
    </w:rPr>
  </w:style>
  <w:style w:type="character" w:styleId="firsttext" w:customStyle="1">
    <w:name w:val="first_text"/>
    <w:basedOn w:val="Absatz-Standardschriftart1"/>
    <w:rsid w:val="00AD16B6"/>
  </w:style>
  <w:style w:type="paragraph" w:styleId="berschrift" w:customStyle="1">
    <w:name w:val="Überschrift"/>
    <w:next w:val="Textkrper"/>
    <w:rsid w:val="00AD16B6"/>
    <w:pPr>
      <w:keepNext w:val="1"/>
      <w:spacing w:before="240"/>
    </w:pPr>
    <w:rPr>
      <w:rFonts w:cs="Tahoma" w:eastAsia="MS Mincho"/>
      <w:sz w:val="28"/>
      <w:szCs w:val="28"/>
    </w:rPr>
  </w:style>
  <w:style w:type="paragraph" w:styleId="Textkrper">
    <w:name w:val="Body Text"/>
    <w:semiHidden w:val="1"/>
    <w:rsid w:val="00AD16B6"/>
  </w:style>
  <w:style w:type="paragraph" w:styleId="Liste">
    <w:name w:val="List"/>
    <w:basedOn w:val="Textkrper"/>
    <w:semiHidden w:val="1"/>
    <w:rsid w:val="00AD16B6"/>
    <w:rPr>
      <w:rFonts w:cs="Tahoma"/>
    </w:rPr>
  </w:style>
  <w:style w:type="paragraph" w:styleId="Beschriftung1" w:customStyle="1">
    <w:name w:val="Beschriftung1"/>
    <w:rsid w:val="00AD16B6"/>
    <w:pPr>
      <w:suppressLineNumbers w:val="1"/>
      <w:spacing w:before="120"/>
    </w:pPr>
    <w:rPr>
      <w:rFonts w:cs="Tahoma"/>
      <w:i w:val="1"/>
      <w:iCs w:val="1"/>
    </w:rPr>
  </w:style>
  <w:style w:type="paragraph" w:styleId="Verzeichnis" w:customStyle="1">
    <w:name w:val="Verzeichnis"/>
    <w:rsid w:val="00AD16B6"/>
    <w:pPr>
      <w:suppressLineNumbers w:val="1"/>
    </w:pPr>
    <w:rPr>
      <w:rFonts w:cs="Tahoma"/>
    </w:rPr>
  </w:style>
  <w:style w:type="paragraph" w:styleId="Kopfzeile">
    <w:name w:val="header"/>
    <w:link w:val="KopfzeileZchn"/>
    <w:uiPriority w:val="99"/>
    <w:rsid w:val="00AD16B6"/>
    <w:pPr>
      <w:tabs>
        <w:tab w:val="center" w:pos="4536"/>
        <w:tab w:val="right" w:pos="9072"/>
      </w:tabs>
    </w:pPr>
  </w:style>
  <w:style w:type="paragraph" w:styleId="Fuzeile">
    <w:name w:val="footer"/>
    <w:link w:val="FuzeileZchn"/>
    <w:uiPriority w:val="99"/>
    <w:rsid w:val="00AD16B6"/>
    <w:pPr>
      <w:tabs>
        <w:tab w:val="center" w:pos="4536"/>
        <w:tab w:val="right" w:pos="9072"/>
      </w:tabs>
    </w:pPr>
  </w:style>
  <w:style w:type="paragraph" w:styleId="CarattereCarattere" w:customStyle="1">
    <w:name w:val="Carattere Carattere"/>
    <w:rsid w:val="00AD16B6"/>
    <w:pPr>
      <w:spacing w:after="160" w:line="240" w:lineRule="exact"/>
    </w:pPr>
    <w:rPr>
      <w:rFonts w:ascii="Tahoma" w:cs="Tahoma" w:hAnsi="Tahoma"/>
      <w:sz w:val="20"/>
      <w:szCs w:val="20"/>
      <w:lang w:val="en-US"/>
    </w:rPr>
  </w:style>
  <w:style w:type="paragraph" w:styleId="CharChar" w:customStyle="1">
    <w:name w:val="Char Char"/>
    <w:rsid w:val="00AD16B6"/>
    <w:pPr>
      <w:spacing w:after="160" w:line="240" w:lineRule="exact"/>
    </w:pPr>
    <w:rPr>
      <w:rFonts w:ascii="Tahoma" w:cs="Tahoma" w:hAnsi="Tahoma"/>
      <w:sz w:val="20"/>
      <w:szCs w:val="20"/>
      <w:lang w:val="en-US"/>
    </w:rPr>
  </w:style>
  <w:style w:type="paragraph" w:styleId="Char" w:customStyle="1">
    <w:name w:val="Char"/>
    <w:rsid w:val="00AD16B6"/>
    <w:pPr>
      <w:spacing w:after="160" w:line="240" w:lineRule="exact"/>
    </w:pPr>
    <w:rPr>
      <w:rFonts w:ascii="Tahoma" w:cs="Tahoma" w:hAnsi="Tahoma"/>
      <w:sz w:val="20"/>
      <w:szCs w:val="20"/>
      <w:lang w:val="en-US"/>
    </w:rPr>
  </w:style>
  <w:style w:type="paragraph" w:styleId="Aufzhlungszeichen1" w:customStyle="1">
    <w:name w:val="Aufzählungszeichen1"/>
    <w:rsid w:val="00AD16B6"/>
    <w:rPr>
      <w:lang w:val="de-AT"/>
    </w:rPr>
  </w:style>
  <w:style w:type="paragraph" w:styleId="ZchnZchnCharZchnZchnCharCharCharCharCharCharCharChar" w:customStyle="1">
    <w:name w:val="Zchn Zchn Char Zchn Zchn Char Char Char Char Char Char Char Char"/>
    <w:rsid w:val="00AD16B6"/>
    <w:pPr>
      <w:spacing w:after="160" w:line="240" w:lineRule="exact"/>
    </w:pPr>
    <w:rPr>
      <w:rFonts w:ascii="Tahoma" w:cs="Tahoma" w:hAnsi="Tahoma"/>
      <w:sz w:val="20"/>
      <w:szCs w:val="20"/>
      <w:lang w:val="en-US"/>
    </w:rPr>
  </w:style>
  <w:style w:type="paragraph" w:styleId="StandardWeb">
    <w:name w:val="Normal (Web)"/>
    <w:uiPriority w:val="99"/>
    <w:rsid w:val="00AD16B6"/>
    <w:pPr>
      <w:spacing w:after="280" w:before="280"/>
    </w:pPr>
    <w:rPr>
      <w:lang w:val="de-AT"/>
    </w:rPr>
  </w:style>
  <w:style w:type="paragraph" w:styleId="TabellenInhalt" w:customStyle="1">
    <w:name w:val="Tabellen Inhalt"/>
    <w:rsid w:val="00AD16B6"/>
    <w:pPr>
      <w:suppressLineNumbers w:val="1"/>
    </w:pPr>
  </w:style>
  <w:style w:type="paragraph" w:styleId="Tabellenberschrift" w:customStyle="1">
    <w:name w:val="Tabellen Überschrift"/>
    <w:basedOn w:val="TabellenInhalt"/>
    <w:rsid w:val="00AD16B6"/>
    <w:pPr>
      <w:jc w:val="center"/>
    </w:pPr>
    <w:rPr>
      <w:b w:val="1"/>
      <w:bCs w:val="1"/>
    </w:rPr>
  </w:style>
  <w:style w:type="character" w:styleId="apple-style-span" w:customStyle="1">
    <w:name w:val="apple-style-span"/>
    <w:basedOn w:val="Absatz-Standardschriftart"/>
    <w:rsid w:val="000A0663"/>
  </w:style>
  <w:style w:type="character" w:styleId="KopfzeileZchn" w:customStyle="1">
    <w:name w:val="Kopfzeile Zchn"/>
    <w:link w:val="Kopfzeile"/>
    <w:uiPriority w:val="99"/>
    <w:rsid w:val="005F3EAC"/>
    <w:rPr>
      <w:sz w:val="24"/>
      <w:szCs w:val="24"/>
      <w:lang w:eastAsia="ar-SA" w:val="pl-PL"/>
    </w:rPr>
  </w:style>
  <w:style w:type="character" w:styleId="Kommentarzeichen">
    <w:name w:val="annotation reference"/>
    <w:uiPriority w:val="99"/>
    <w:semiHidden w:val="1"/>
    <w:unhideWhenUsed w:val="1"/>
    <w:rsid w:val="007C066A"/>
    <w:rPr>
      <w:sz w:val="16"/>
      <w:szCs w:val="16"/>
    </w:rPr>
  </w:style>
  <w:style w:type="paragraph" w:styleId="Kommentartext">
    <w:name w:val="annotation text"/>
    <w:link w:val="KommentartextZchn"/>
    <w:uiPriority w:val="99"/>
    <w:semiHidden w:val="1"/>
    <w:unhideWhenUsed w:val="1"/>
    <w:rsid w:val="007C066A"/>
    <w:rPr>
      <w:sz w:val="20"/>
      <w:szCs w:val="20"/>
    </w:rPr>
  </w:style>
  <w:style w:type="character" w:styleId="KommentartextZchn" w:customStyle="1">
    <w:name w:val="Kommentartext Zchn"/>
    <w:link w:val="Kommentartext"/>
    <w:uiPriority w:val="99"/>
    <w:semiHidden w:val="1"/>
    <w:rsid w:val="007C066A"/>
    <w:rPr>
      <w:lang w:eastAsia="ar-SA" w:val="pl-PL"/>
    </w:rPr>
  </w:style>
  <w:style w:type="paragraph" w:styleId="Kommentarthema">
    <w:name w:val="annotation subject"/>
    <w:basedOn w:val="Kommentartext"/>
    <w:next w:val="Kommentartext"/>
    <w:link w:val="KommentarthemaZchn"/>
    <w:uiPriority w:val="99"/>
    <w:semiHidden w:val="1"/>
    <w:unhideWhenUsed w:val="1"/>
    <w:rsid w:val="007C066A"/>
    <w:rPr>
      <w:b w:val="1"/>
      <w:bCs w:val="1"/>
    </w:rPr>
  </w:style>
  <w:style w:type="character" w:styleId="KommentarthemaZchn" w:customStyle="1">
    <w:name w:val="Kommentarthema Zchn"/>
    <w:link w:val="Kommentarthema"/>
    <w:uiPriority w:val="99"/>
    <w:semiHidden w:val="1"/>
    <w:rsid w:val="007C066A"/>
    <w:rPr>
      <w:b w:val="1"/>
      <w:bCs w:val="1"/>
      <w:lang w:eastAsia="ar-SA" w:val="pl-PL"/>
    </w:rPr>
  </w:style>
  <w:style w:type="paragraph" w:styleId="Sprechblasentext">
    <w:name w:val="Balloon Text"/>
    <w:link w:val="SprechblasentextZchn"/>
    <w:uiPriority w:val="99"/>
    <w:semiHidden w:val="1"/>
    <w:unhideWhenUsed w:val="1"/>
    <w:rsid w:val="007C066A"/>
    <w:rPr>
      <w:rFonts w:ascii="Tahoma" w:cs="Tahoma" w:hAnsi="Tahoma"/>
      <w:sz w:val="16"/>
      <w:szCs w:val="16"/>
    </w:rPr>
  </w:style>
  <w:style w:type="character" w:styleId="SprechblasentextZchn" w:customStyle="1">
    <w:name w:val="Sprechblasentext Zchn"/>
    <w:link w:val="Sprechblasentext"/>
    <w:uiPriority w:val="99"/>
    <w:semiHidden w:val="1"/>
    <w:rsid w:val="007C066A"/>
    <w:rPr>
      <w:rFonts w:ascii="Tahoma" w:cs="Tahoma" w:hAnsi="Tahoma"/>
      <w:sz w:val="16"/>
      <w:szCs w:val="16"/>
      <w:lang w:eastAsia="ar-SA" w:val="pl-PL"/>
    </w:rPr>
  </w:style>
  <w:style w:type="character" w:styleId="stil3" w:customStyle="1">
    <w:name w:val="stil3"/>
    <w:basedOn w:val="Absatz-Standardschriftart"/>
    <w:rsid w:val="00A778F0"/>
  </w:style>
  <w:style w:type="character" w:styleId="FuzeileZchn" w:customStyle="1">
    <w:name w:val="Fußzeile Zchn"/>
    <w:link w:val="Fuzeile"/>
    <w:uiPriority w:val="99"/>
    <w:rsid w:val="00036500"/>
    <w:rPr>
      <w:sz w:val="24"/>
      <w:szCs w:val="24"/>
      <w:lang w:eastAsia="ar-SA" w:val="pl-PL"/>
    </w:rPr>
  </w:style>
  <w:style w:type="character" w:styleId="fn" w:customStyle="1">
    <w:name w:val="fn"/>
    <w:basedOn w:val="Absatz-Standardschriftart"/>
    <w:rsid w:val="009109A0"/>
  </w:style>
  <w:style w:type="paragraph" w:styleId="address" w:customStyle="1">
    <w:name w:val="address"/>
    <w:rsid w:val="009109A0"/>
    <w:pPr>
      <w:spacing w:after="100" w:afterAutospacing="1" w:before="100" w:beforeAutospacing="1"/>
    </w:pPr>
    <w:rPr>
      <w:lang w:val="de-AT"/>
    </w:rPr>
  </w:style>
  <w:style w:type="character" w:styleId="jqtooltip" w:customStyle="1">
    <w:name w:val="jq_tooltip"/>
    <w:basedOn w:val="Absatz-Standardschriftart"/>
    <w:rsid w:val="009109A0"/>
  </w:style>
  <w:style w:type="paragraph" w:styleId="HTMLVorformatiert">
    <w:name w:val="HTML Preformatted"/>
    <w:link w:val="HTMLVorformatiertZchn"/>
    <w:uiPriority w:val="99"/>
    <w:semiHidden w:val="1"/>
    <w:unhideWhenUsed w:val="1"/>
    <w:rsid w:val="00CF5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lang w:val="de-AT"/>
    </w:rPr>
  </w:style>
  <w:style w:type="character" w:styleId="HTMLVorformatiertZchn" w:customStyle="1">
    <w:name w:val="HTML Vorformatiert Zchn"/>
    <w:link w:val="HTMLVorformatiert"/>
    <w:uiPriority w:val="99"/>
    <w:semiHidden w:val="1"/>
    <w:rsid w:val="00CF57EC"/>
    <w:rPr>
      <w:rFonts w:ascii="Courier New" w:cs="Courier New" w:hAnsi="Courier New"/>
    </w:rPr>
  </w:style>
  <w:style w:type="character" w:styleId="xbe" w:customStyle="1">
    <w:name w:val="_xbe"/>
    <w:basedOn w:val="Absatz-Standardschriftart"/>
    <w:rsid w:val="009D601B"/>
  </w:style>
  <w:style w:type="paragraph" w:styleId="Listenabsatz">
    <w:name w:val="List Paragraph"/>
    <w:uiPriority w:val="34"/>
    <w:qFormat w:val="1"/>
    <w:rsid w:val="00261BA6"/>
    <w:pPr>
      <w:spacing w:after="160" w:line="259" w:lineRule="auto"/>
      <w:ind w:left="720"/>
      <w:contextualSpacing w:val="1"/>
    </w:pPr>
    <w:rPr>
      <w:rFonts w:ascii="Calibri" w:eastAsia="Calibri" w:hAnsi="Calibri"/>
      <w:lang w:eastAsia="en-US" w:val="de-AT"/>
    </w:rPr>
  </w:style>
  <w:style w:type="character" w:styleId="NichtaufgelsteErwhnung">
    <w:name w:val="Unresolved Mention"/>
    <w:basedOn w:val="Absatz-Standardschriftart"/>
    <w:uiPriority w:val="99"/>
    <w:semiHidden w:val="1"/>
    <w:unhideWhenUsed w:val="1"/>
    <w:rsid w:val="00B92912"/>
    <w:rPr>
      <w:color w:val="605e5c"/>
      <w:shd w:color="auto" w:fill="e1dfdd" w:val="clear"/>
    </w:rPr>
  </w:style>
  <w:style w:type="character" w:styleId="berschrift6Zchn" w:customStyle="1">
    <w:name w:val="Überschrift 6 Zchn"/>
    <w:basedOn w:val="Absatz-Standardschriftart"/>
    <w:uiPriority w:val="9"/>
    <w:semiHidden w:val="1"/>
    <w:rsid w:val="0056403E"/>
    <w:rPr>
      <w:rFonts w:asciiTheme="majorHAnsi" w:cstheme="majorBidi" w:eastAsiaTheme="majorEastAsia" w:hAnsiTheme="majorHAnsi"/>
      <w:color w:val="912f00" w:themeColor="accent1" w:themeShade="00007F"/>
      <w:sz w:val="24"/>
      <w:szCs w:val="24"/>
      <w:lang w:eastAsia="ar-SA" w:val="pl-PL"/>
    </w:rPr>
  </w:style>
  <w:style w:type="table" w:styleId="Tabellenraster">
    <w:name w:val="Table Grid"/>
    <w:basedOn w:val="NormaleTabelle"/>
    <w:uiPriority w:val="59"/>
    <w:rsid w:val="00500D8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Inhaltsverzeichnisberschrift">
    <w:name w:val="TOC Heading"/>
    <w:uiPriority w:val="39"/>
    <w:unhideWhenUsed w:val="1"/>
    <w:qFormat w:val="1"/>
    <w:rsid w:val="002F1671"/>
    <w:pPr>
      <w:keepLines w:val="1"/>
      <w:spacing w:after="0" w:before="240" w:line="259" w:lineRule="auto"/>
    </w:pPr>
    <w:rPr>
      <w:rFonts w:asciiTheme="majorHAnsi" w:cstheme="majorBidi" w:eastAsiaTheme="majorEastAsia" w:hAnsiTheme="majorHAnsi"/>
      <w:color w:val="da4800" w:themeColor="accent1" w:themeShade="0000BF"/>
      <w:szCs w:val="32"/>
      <w:lang w:eastAsia="en-US" w:val="en-US"/>
    </w:rPr>
  </w:style>
  <w:style w:type="paragraph" w:styleId="Verzeichnis1">
    <w:name w:val="toc 1"/>
    <w:autoRedefine w:val="1"/>
    <w:uiPriority w:val="39"/>
    <w:unhideWhenUsed w:val="1"/>
    <w:rsid w:val="002F1671"/>
    <w:pPr>
      <w:spacing w:after="100"/>
    </w:pPr>
  </w:style>
  <w:style w:type="paragraph" w:styleId="Verzeichnis2">
    <w:name w:val="toc 2"/>
    <w:autoRedefine w:val="1"/>
    <w:uiPriority w:val="39"/>
    <w:unhideWhenUsed w:val="1"/>
    <w:rsid w:val="002F1671"/>
    <w:pPr>
      <w:spacing w:after="100"/>
      <w:ind w:left="220"/>
    </w:pPr>
  </w:style>
  <w:style w:type="paragraph" w:styleId="Verzeichnis3">
    <w:name w:val="toc 3"/>
    <w:autoRedefine w:val="1"/>
    <w:uiPriority w:val="39"/>
    <w:unhideWhenUsed w:val="1"/>
    <w:rsid w:val="002F1671"/>
    <w:pPr>
      <w:spacing w:after="100"/>
      <w:ind w:left="440"/>
    </w:pPr>
  </w:style>
  <w:style w:type="paragraph" w:styleId="Subtitle1" w:customStyle="1">
    <w:name w:val="Subtitle 1"/>
    <w:link w:val="Subtitle1Zchn"/>
    <w:qFormat w:val="1"/>
    <w:rsid w:val="00B34A2C"/>
    <w:pPr>
      <w:tabs>
        <w:tab w:val="left" w:pos="6928"/>
      </w:tabs>
      <w:spacing w:line="276" w:lineRule="auto"/>
    </w:pPr>
    <w:rPr>
      <w:rFonts w:eastAsia="Calibri"/>
      <w:b w:val="1"/>
      <w:color w:val="da4800"/>
      <w:sz w:val="28"/>
      <w:szCs w:val="28"/>
      <w:lang w:eastAsia="en-US"/>
    </w:rPr>
  </w:style>
  <w:style w:type="character" w:styleId="Subtitle1Zchn" w:customStyle="1">
    <w:name w:val="Subtitle 1 Zchn"/>
    <w:basedOn w:val="Absatz-Standardschriftart"/>
    <w:link w:val="Subtitle1"/>
    <w:rsid w:val="00B34A2C"/>
    <w:rPr>
      <w:rFonts w:ascii="Arial" w:cs="Arial" w:eastAsia="Calibri" w:hAnsi="Arial"/>
      <w:b w:val="1"/>
      <w:color w:val="da4800"/>
      <w:sz w:val="28"/>
      <w:szCs w:val="28"/>
      <w:lang w:eastAsia="en-US" w:val="en-GB"/>
    </w:rPr>
  </w:style>
  <w:style w:type="paragraph" w:styleId="MainTitle" w:customStyle="1">
    <w:name w:val="Main Title"/>
    <w:link w:val="MainTitleZchn"/>
    <w:qFormat w:val="1"/>
    <w:rsid w:val="00B34A2C"/>
    <w:pPr>
      <w:tabs>
        <w:tab w:val="left" w:pos="6928"/>
      </w:tabs>
      <w:spacing w:after="200" w:before="500" w:line="276" w:lineRule="auto"/>
    </w:pPr>
    <w:rPr>
      <w:rFonts w:eastAsia="Calibri"/>
      <w:b w:val="1"/>
      <w:color w:val="ff9525" w:themeColor="accent6"/>
      <w:sz w:val="32"/>
      <w:szCs w:val="32"/>
      <w:lang w:eastAsia="en-US"/>
    </w:rPr>
  </w:style>
  <w:style w:type="character" w:styleId="MainTitleZchn" w:customStyle="1">
    <w:name w:val="Main Title Zchn"/>
    <w:basedOn w:val="Absatz-Standardschriftart"/>
    <w:link w:val="MainTitle"/>
    <w:rsid w:val="00B34A2C"/>
    <w:rPr>
      <w:rFonts w:ascii="Arial" w:cs="Arial" w:eastAsia="Calibri" w:hAnsi="Arial"/>
      <w:b w:val="1"/>
      <w:color w:val="ff9525" w:themeColor="accent6"/>
      <w:sz w:val="32"/>
      <w:szCs w:val="32"/>
      <w:lang w:eastAsia="en-US" w:val="en-GB"/>
    </w:rPr>
  </w:style>
  <w:style w:type="paragraph" w:styleId="KeinLeerraum">
    <w:name w:val="No Spacing"/>
    <w:aliases w:val="Figure description"/>
    <w:link w:val="KeinLeerraumZchn"/>
    <w:uiPriority w:val="1"/>
    <w:qFormat w:val="1"/>
    <w:rsid w:val="00B34A2C"/>
    <w:rPr>
      <w:i w:val="1"/>
      <w:iCs w:val="1"/>
      <w:lang w:eastAsia="de-DE"/>
    </w:rPr>
  </w:style>
  <w:style w:type="character" w:styleId="KeinLeerraumZchn" w:customStyle="1">
    <w:name w:val="Kein Leerraum Zchn"/>
    <w:aliases w:val="Figure description Zchn"/>
    <w:basedOn w:val="Absatz-Standardschriftart"/>
    <w:link w:val="KeinLeerraum"/>
    <w:uiPriority w:val="1"/>
    <w:rsid w:val="00B34A2C"/>
    <w:rPr>
      <w:rFonts w:ascii="Arial" w:cs="Arial" w:hAnsi="Arial"/>
      <w:i w:val="1"/>
      <w:iCs w:val="1"/>
      <w:sz w:val="22"/>
      <w:szCs w:val="22"/>
      <w:lang w:eastAsia="de-DE" w:val="en-GB"/>
    </w:rPr>
  </w:style>
  <w:style w:type="paragraph" w:styleId="Subtitle2" w:customStyle="1">
    <w:name w:val="Subtitle 2"/>
    <w:link w:val="Subtitle2Zchn"/>
    <w:qFormat w:val="1"/>
    <w:rsid w:val="00B34A2C"/>
    <w:pPr>
      <w:tabs>
        <w:tab w:val="left" w:pos="6928"/>
      </w:tabs>
      <w:spacing w:after="60" w:line="276" w:lineRule="auto"/>
      <w:jc w:val="both"/>
      <w:outlineLvl w:val="1"/>
    </w:pPr>
    <w:rPr>
      <w:rFonts w:eastAsia="Calibri"/>
      <w:b w:val="1"/>
      <w:color w:val="da4800"/>
      <w:sz w:val="24"/>
      <w:szCs w:val="28"/>
      <w:lang w:eastAsia="en-US"/>
    </w:rPr>
  </w:style>
  <w:style w:type="character" w:styleId="Subtitle2Zchn" w:customStyle="1">
    <w:name w:val="Subtitle 2 Zchn"/>
    <w:basedOn w:val="Subtitle1Zchn"/>
    <w:link w:val="Subtitle2"/>
    <w:rsid w:val="00B34A2C"/>
    <w:rPr>
      <w:rFonts w:ascii="Arial" w:cs="Arial" w:eastAsia="Calibri" w:hAnsi="Arial"/>
      <w:b w:val="1"/>
      <w:color w:val="da4800"/>
      <w:sz w:val="24"/>
      <w:szCs w:val="28"/>
      <w:lang w:eastAsia="en-US" w:val="en-GB"/>
    </w:rPr>
  </w:style>
  <w:style w:type="table" w:styleId="EinfacheTabelle1">
    <w:name w:val="Plain Table 1"/>
    <w:basedOn w:val="NormaleTabelle"/>
    <w:uiPriority w:val="41"/>
    <w:rsid w:val="00B34A2C"/>
    <w:rPr>
      <w:rFonts w:cstheme="minorBidi" w:eastAsiaTheme="minorHAnsi"/>
      <w:lang w:eastAsia="en-US"/>
    </w:r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Tabledescription" w:customStyle="1">
    <w:name w:val="Table description"/>
    <w:link w:val="TabledescriptionCarter"/>
    <w:qFormat w:val="1"/>
    <w:rsid w:val="00B34A2C"/>
    <w:rPr>
      <w:i w:val="1"/>
      <w:iCs w:val="1"/>
    </w:rPr>
  </w:style>
  <w:style w:type="character" w:styleId="berschrift1Zchn" w:customStyle="1">
    <w:name w:val="Überschrift 1 Zchn"/>
    <w:basedOn w:val="Absatz-Standardschriftart"/>
    <w:uiPriority w:val="9"/>
    <w:rsid w:val="00B34A2C"/>
    <w:rPr>
      <w:rFonts w:ascii="Arial Black" w:hAnsi="Arial Black"/>
      <w:b w:val="1"/>
      <w:bCs w:val="1"/>
      <w:color w:val="ff9525" w:themeColor="accent6"/>
      <w:sz w:val="32"/>
      <w:szCs w:val="24"/>
      <w:lang w:eastAsia="ar-SA" w:val="en-GB"/>
    </w:rPr>
  </w:style>
  <w:style w:type="character" w:styleId="TabledescriptionCarter" w:customStyle="1">
    <w:name w:val="Table description Caráter"/>
    <w:basedOn w:val="berschrift1Zchn"/>
    <w:link w:val="Tabledescription"/>
    <w:rsid w:val="00B34A2C"/>
    <w:rPr>
      <w:rFonts w:ascii="Arial" w:cs="Arial" w:hAnsi="Arial"/>
      <w:b w:val="0"/>
      <w:bCs w:val="0"/>
      <w:i w:val="1"/>
      <w:iCs w:val="1"/>
      <w:color w:val="ff9525" w:themeColor="accent6"/>
      <w:sz w:val="22"/>
      <w:szCs w:val="22"/>
      <w:lang w:eastAsia="ar-SA" w:val="en-GB"/>
    </w:rPr>
  </w:style>
  <w:style w:type="table" w:styleId="a" w:customStyle="1">
    <w:basedOn w:val="TableNormal4"/>
    <w:tblPr>
      <w:tblStyleRowBandSize w:val="1"/>
      <w:tblStyleColBandSize w:val="1"/>
      <w:tblCellMar>
        <w:left w:w="108.0" w:type="dxa"/>
        <w:right w:w="108.0" w:type="dxa"/>
      </w:tblCellMar>
    </w:tblPr>
  </w:style>
  <w:style w:type="table" w:styleId="a0"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1" w:customStyle="1">
    <w:basedOn w:val="TableNormal4"/>
    <w:tblPr>
      <w:tblStyleRowBandSize w:val="1"/>
      <w:tblStyleColBandSize w:val="1"/>
      <w:tblCellMar>
        <w:left w:w="108.0" w:type="dxa"/>
        <w:right w:w="108.0" w:type="dxa"/>
      </w:tblCellMar>
    </w:tblPr>
  </w:style>
  <w:style w:type="table" w:styleId="a2"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Gitternetztabelle1hell">
    <w:name w:val="Grid Table 1 Light"/>
    <w:basedOn w:val="NormaleTabelle"/>
    <w:uiPriority w:val="46"/>
    <w:rsid w:val="004F0D03"/>
    <w:pPr>
      <w:spacing w:after="0" w:line="240" w:lineRule="auto"/>
    </w:pPr>
    <w:rPr>
      <w:rFonts w:ascii="Times New Roman" w:cs="Times New Roman" w:eastAsia="Times New Roman" w:hAnsi="Times New Roman"/>
      <w:sz w:val="20"/>
      <w:szCs w:val="20"/>
      <w:lang w:val="de-AT"/>
    </w:r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a3" w:customStyle="1">
    <w:basedOn w:val="TableNormal3"/>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4" w:customStyle="1">
    <w:basedOn w:val="TableNormal3"/>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5" w:customStyle="1">
    <w:basedOn w:val="TableNormal3"/>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6" w:customStyle="1">
    <w:basedOn w:val="TableNormal3"/>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7"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8"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9"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a"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b"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c"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d"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e"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0"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1"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2" w:customStyle="1">
    <w:basedOn w:val="TableNormal2"/>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3" w:customStyle="1">
    <w:basedOn w:val="TableNormal2"/>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4" w:customStyle="1">
    <w:basedOn w:val="TableNormal2"/>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5" w:customStyle="1">
    <w:basedOn w:val="TableNormal2"/>
    <w:tblPr>
      <w:tblStyleRowBandSize w:val="1"/>
      <w:tblStyleColBandSize w:val="1"/>
      <w:tblCellMar>
        <w:left w:w="108.0" w:type="dxa"/>
        <w:right w:w="108.0" w:type="dxa"/>
      </w:tblCellMar>
    </w:tblPr>
  </w:style>
  <w:style w:type="table" w:styleId="af6"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7"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8"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9"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a"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b"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c"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d"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e"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0"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1"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2"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3" w:customStyle="1">
    <w:basedOn w:val="TableNormal1"/>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4" w:customStyle="1">
    <w:basedOn w:val="TableNormal1"/>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5" w:customStyle="1">
    <w:basedOn w:val="TableNormal1"/>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6" w:customStyle="1">
    <w:basedOn w:val="TableNormal1"/>
    <w:tblPr>
      <w:tblStyleRowBandSize w:val="1"/>
      <w:tblStyleColBandSize w:val="1"/>
      <w:tblCellMar>
        <w:top w:w="0.0" w:type="dxa"/>
        <w:left w:w="108.0" w:type="dxa"/>
        <w:bottom w:w="0.0" w:type="dxa"/>
        <w:right w:w="108.0" w:type="dxa"/>
      </w:tblCellMar>
    </w:tblPr>
  </w:style>
  <w:style w:type="table" w:styleId="aff7"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8"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9"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a"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b"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c"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d"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e"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0"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1"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2"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3"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4" w:customStyle="1">
    <w:basedOn w:val="TableNormal0"/>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5" w:customStyle="1">
    <w:basedOn w:val="TableNormal0"/>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6" w:customStyle="1">
    <w:basedOn w:val="TableNormal0"/>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7" w:customStyle="1">
    <w:basedOn w:val="TableNormal0"/>
    <w:tblPr>
      <w:tblStyleRowBandSize w:val="1"/>
      <w:tblStyleColBandSize w:val="1"/>
      <w:tblCellMar>
        <w:top w:w="0.0" w:type="dxa"/>
        <w:left w:w="108.0" w:type="dxa"/>
        <w:bottom w:w="0.0" w:type="dxa"/>
        <w:right w:w="108.0" w:type="dxa"/>
      </w:tblCellMar>
    </w:tblPr>
  </w:style>
  <w:style w:type="table" w:styleId="afff8"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9"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a"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b"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c"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d"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e"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0"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1"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2"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3"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4" w:customStyle="1">
    <w:basedOn w:val="TableNormal0"/>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1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www.cogentinfo.com/resources/15-issues-women-face-at-the-workplace-and-how-to-combat-them" TargetMode="External"/><Relationship Id="rId22" Type="http://schemas.openxmlformats.org/officeDocument/2006/relationships/hyperlink" Target="https://www.imd.org/blog/management/gender-bias/" TargetMode="External"/><Relationship Id="rId21" Type="http://schemas.openxmlformats.org/officeDocument/2006/relationships/hyperlink" Target="https://www.imd.org/blog/management/gender-bias/" TargetMode="External"/><Relationship Id="rId24" Type="http://schemas.openxmlformats.org/officeDocument/2006/relationships/hyperlink" Target="https://documents1.worldbank.org/curated/en/483621554129720460/pdf/Gender-Based-Employment-Segregation-Understanding-Causes-and-Policy-Interventions.pdf" TargetMode="External"/><Relationship Id="rId23" Type="http://schemas.openxmlformats.org/officeDocument/2006/relationships/hyperlink" Target="https://documents1.worldbank.org/curated/en/483621554129720460/pdf/Gender-Based-Employment-Segregation-Understanding-Causes-and-Policy-Intervention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ecd.org/content/dam/oecd/en/publications/reports/2024/03/gender-equality-and-economic-growth_7d0c8365/fb0a0a93-en.pdf" TargetMode="External"/><Relationship Id="rId26" Type="http://schemas.openxmlformats.org/officeDocument/2006/relationships/hyperlink" Target="https://ourworldindata.org/female-labor-supply" TargetMode="External"/><Relationship Id="rId25" Type="http://schemas.openxmlformats.org/officeDocument/2006/relationships/hyperlink" Target="https://ourworldindata.org/female-labor-supply"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2.xml"/><Relationship Id="rId7" Type="http://schemas.openxmlformats.org/officeDocument/2006/relationships/hyperlink" Target="https://www.elibrary.imf.org/display/book/9781513516103/ch001.xml" TargetMode="External"/><Relationship Id="rId8" Type="http://schemas.openxmlformats.org/officeDocument/2006/relationships/hyperlink" Target="https://www.elibrary.imf.org/display/book/9781513516103/ch001.xml" TargetMode="External"/><Relationship Id="rId11" Type="http://schemas.openxmlformats.org/officeDocument/2006/relationships/hyperlink" Target="https://commission.europa.eu/strategy-and-policy/policies/justice-and-fundamental-rights/gender-equality/women-labour-market-work-life-balance/womens-situation-labour-market_en" TargetMode="External"/><Relationship Id="rId10" Type="http://schemas.openxmlformats.org/officeDocument/2006/relationships/hyperlink" Target="https://www.oecd.org/content/dam/oecd/en/publications/reports/2024/03/gender-equality-and-economic-growth_7d0c8365/fb0a0a93-en.pdf" TargetMode="External"/><Relationship Id="rId13" Type="http://schemas.openxmlformats.org/officeDocument/2006/relationships/hyperlink" Target="https://www.undp.org/sites/g/files/zskgke326/files/2023-03/Gender%20Equality%20in%20Employment%20-%20ENG.pdf" TargetMode="External"/><Relationship Id="rId12" Type="http://schemas.openxmlformats.org/officeDocument/2006/relationships/hyperlink" Target="https://commission.europa.eu/strategy-and-policy/policies/justice-and-fundamental-rights/gender-equality/women-labour-market-work-life-balance/womens-situation-labour-market_en" TargetMode="External"/><Relationship Id="rId15" Type="http://schemas.openxmlformats.org/officeDocument/2006/relationships/hyperlink" Target="https://eige.europa.eu/newsroom/economic-benefits-gender-equality?language_content_entity=en" TargetMode="External"/><Relationship Id="rId14" Type="http://schemas.openxmlformats.org/officeDocument/2006/relationships/hyperlink" Target="https://www.undp.org/sites/g/files/zskgke326/files/2023-03/Gender%20Equality%20in%20Employment%20-%20ENG.pdf" TargetMode="External"/><Relationship Id="rId17" Type="http://schemas.openxmlformats.org/officeDocument/2006/relationships/hyperlink" Target="https://pmc.ncbi.nlm.nih.gov/articles/PMC4584998/" TargetMode="External"/><Relationship Id="rId16" Type="http://schemas.openxmlformats.org/officeDocument/2006/relationships/hyperlink" Target="https://eige.europa.eu/newsroom/economic-benefits-gender-equality?language_content_entity=en" TargetMode="External"/><Relationship Id="rId19" Type="http://schemas.openxmlformats.org/officeDocument/2006/relationships/hyperlink" Target="https://www.cogentinfo.com/resources/15-issues-women-face-at-the-workplace-and-how-to-combat-them" TargetMode="External"/><Relationship Id="rId18" Type="http://schemas.openxmlformats.org/officeDocument/2006/relationships/hyperlink" Target="https://pmc.ncbi.nlm.nih.gov/articles/PMC458499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Elevate">
      <a:dk1>
        <a:sysClr val="windowText" lastClr="000000"/>
      </a:dk1>
      <a:lt1>
        <a:sysClr val="window" lastClr="FFFFFF"/>
      </a:lt1>
      <a:dk2>
        <a:srgbClr val="4B4B4B"/>
      </a:dk2>
      <a:lt2>
        <a:srgbClr val="E7E6E6"/>
      </a:lt2>
      <a:accent1>
        <a:srgbClr val="FF6D25"/>
      </a:accent1>
      <a:accent2>
        <a:srgbClr val="FFCF01"/>
      </a:accent2>
      <a:accent3>
        <a:srgbClr val="BC0808"/>
      </a:accent3>
      <a:accent4>
        <a:srgbClr val="0039AC"/>
      </a:accent4>
      <a:accent5>
        <a:srgbClr val="00C8BE"/>
      </a:accent5>
      <a:accent6>
        <a:srgbClr val="FF952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Ecx/B4Rc2JXxPiTgOD6W5Brswg==">CgMxLjA4AGoxChRzdWdnZXN0LmlnbWVyanc3YW9ychIZVGphxaFhIEplcm1hbiBLdcW+ZWxpxI1raWoxChRzdWdnZXN0Ljhtenoya2psb2U4dBIZVGphxaFhIEplcm1hbiBLdcW+ZWxpxI1raWoxChRzdWdnZXN0LndzdXUwMnQ5NXZscxIZVGphxaFhIEplcm1hbiBLdcW+ZWxpxI1raWoxChRzdWdnZXN0LjIxdW9tYzNiamJqZRIZVGphxaFhIEplcm1hbiBLdcW+ZWxpxI1raWoxChRzdWdnZXN0LjZlMzNlcTEydXh5cRIZVGphxaFhIEplcm1hbiBLdcW+ZWxpxI1raWowChNzdWdnZXN0LmlzMXNxcXJrdzZqEhlUamHFoWEgSmVybWFuIEt1xb5lbGnEjWtpciExbWJWMXRoSERYclBET1hYdk5OU0tIWUM4S1N3dmViVV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2025-09-08T13:04:00Z</dcterms:created>
  <dc:creator>Carina Posch</dc:creator>
</cp:coreProperties>
</file>