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color w:val="ff6d25"/>
          <w:sz w:val="36"/>
          <w:szCs w:val="36"/>
        </w:rPr>
      </w:pPr>
      <w:r w:rsidDel="00000000" w:rsidR="00000000" w:rsidRPr="00000000">
        <w:rPr>
          <w:b w:val="1"/>
          <w:bCs w:val="1"/>
          <w:color w:val="ff6d25"/>
          <w:sz w:val="36"/>
          <w:szCs w:val="36"/>
          <w:rtl w:val="0"/>
        </w:rPr>
        <w:t xml:space="preserve">Tools und Methoden</w:t>
      </w:r>
      <w:r w:rsidDel="00000000" w:rsidR="00000000" w:rsidRPr="00000000">
        <w:rPr>
          <w:color w:val="ff6d25"/>
          <w:sz w:val="36"/>
          <w:szCs w:val="36"/>
          <w:rtl w:val="0"/>
        </w:rPr>
        <w:t xml:space="preserve"> zur Erfolgsmessung</w:t>
      </w:r>
    </w:p>
    <w:p w:rsidR="00000000" w:rsidDel="00000000" w:rsidP="00000000" w:rsidRDefault="00000000" w:rsidRPr="00000000" w14:paraId="00000002">
      <w:pPr>
        <w:rPr>
          <w:color w:val="ff6d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ff6d25"/>
          <w:sz w:val="28"/>
          <w:szCs w:val="28"/>
        </w:rPr>
      </w:pPr>
      <w:r w:rsidDel="00000000" w:rsidR="00000000" w:rsidRPr="00000000">
        <w:rPr>
          <w:b w:val="1"/>
          <w:bCs w:val="1"/>
          <w:color w:val="ff6d25"/>
          <w:sz w:val="28"/>
          <w:szCs w:val="28"/>
          <w:rtl w:val="0"/>
        </w:rPr>
        <w:t xml:space="preserve">1. Leistungskennzahlen (KPIs)</w:t>
      </w:r>
    </w:p>
    <w:p w:rsidR="00000000" w:rsidDel="00000000" w:rsidP="00000000" w:rsidRDefault="00000000" w:rsidRPr="00000000" w14:paraId="00000004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Beispiele</w:t>
      </w:r>
      <w:r w:rsidDel="00000000" w:rsidR="00000000" w:rsidRPr="00000000">
        <w:rPr>
          <w:rtl w:val="0"/>
        </w:rPr>
        <w:t xml:space="preserve">: Mitarbeitendenfluktuationsrate, Zeit bis zur Einstellung, Fehlzeitenquote, Abschlussquote von Schulungen, Mitarbeitendenproduktivität</w:t>
      </w:r>
    </w:p>
    <w:p w:rsidR="00000000" w:rsidDel="00000000" w:rsidP="00000000" w:rsidRDefault="00000000" w:rsidRPr="00000000" w14:paraId="00000005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Zweck</w:t>
      </w:r>
      <w:r w:rsidDel="00000000" w:rsidR="00000000" w:rsidRPr="00000000">
        <w:rPr>
          <w:rtl w:val="0"/>
        </w:rPr>
        <w:t xml:space="preserve">: Bereitstellung messbarer Daten, um zu beurteilen, ob Personalstrategien (z. B. Mitarbeitendenbindung, Personalbeschaffung, Weiterbildung) erfolgreich sind.</w:t>
      </w:r>
    </w:p>
    <w:p w:rsidR="00000000" w:rsidDel="00000000" w:rsidP="00000000" w:rsidRDefault="00000000" w:rsidRPr="00000000" w14:paraId="00000006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Tools</w:t>
      </w:r>
      <w:r w:rsidDel="00000000" w:rsidR="00000000" w:rsidRPr="00000000">
        <w:rPr>
          <w:rtl w:val="0"/>
        </w:rPr>
        <w:t xml:space="preserve">: Einfache Tabellenkalkulationen, HR-Dashboards oder KMU-freundliche HR-Software (z. B. BambooHR, Zoho People).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ff6d25"/>
          <w:sz w:val="28"/>
          <w:szCs w:val="28"/>
          <w:rtl w:val="0"/>
        </w:rPr>
        <w:t xml:space="preserve">2. Mitarbeitendenbefragungen &amp; Feedback-Systeme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Methoden</w:t>
      </w:r>
      <w:r w:rsidDel="00000000" w:rsidR="00000000" w:rsidRPr="00000000">
        <w:rPr>
          <w:rtl w:val="0"/>
        </w:rPr>
        <w:t xml:space="preserve">: Regelmäßige Umfragen zum Mitarbeitendenengagement, Pulsbefragungen, Austrittsgespräche, Vorschlagsboxen.</w:t>
      </w:r>
    </w:p>
    <w:p w:rsidR="00000000" w:rsidDel="00000000" w:rsidP="00000000" w:rsidRDefault="00000000" w:rsidRPr="00000000" w14:paraId="0000000A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Zweck</w:t>
      </w:r>
      <w:r w:rsidDel="00000000" w:rsidR="00000000" w:rsidRPr="00000000">
        <w:rPr>
          <w:rtl w:val="0"/>
        </w:rPr>
        <w:t xml:space="preserve">: Ermittlung der Mitarbeitendenzufriedenheit, Motivation und kulturellen Übereinstimmung mit den HR-Strategien.</w:t>
      </w:r>
    </w:p>
    <w:p w:rsidR="00000000" w:rsidDel="00000000" w:rsidP="00000000" w:rsidRDefault="00000000" w:rsidRPr="00000000" w14:paraId="0000000B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Tools</w:t>
      </w:r>
      <w:r w:rsidDel="00000000" w:rsidR="00000000" w:rsidRPr="00000000">
        <w:rPr>
          <w:rtl w:val="0"/>
        </w:rPr>
        <w:t xml:space="preserve">: Google Forms, SurveyMonkey, Officevibe, TinyPulse.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ff6d25"/>
          <w:sz w:val="28"/>
          <w:szCs w:val="28"/>
          <w:rtl w:val="0"/>
        </w:rPr>
        <w:t xml:space="preserve">3. Leistungsbeurteilungssysteme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Methoden</w:t>
      </w:r>
      <w:r w:rsidDel="00000000" w:rsidR="00000000" w:rsidRPr="00000000">
        <w:rPr>
          <w:rtl w:val="0"/>
        </w:rPr>
        <w:t xml:space="preserve">: 360-Grad-Feedback, individuelle Leistungsbeurteilungen, Rahmenwerke zur Zielsetzung (z. B. OKRs, SMART-Ziele).</w:t>
      </w:r>
    </w:p>
    <w:p w:rsidR="00000000" w:rsidDel="00000000" w:rsidP="00000000" w:rsidRDefault="00000000" w:rsidRPr="00000000" w14:paraId="0000000F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Zweck</w:t>
      </w:r>
      <w:r w:rsidDel="00000000" w:rsidR="00000000" w:rsidRPr="00000000">
        <w:rPr>
          <w:rtl w:val="0"/>
        </w:rPr>
        <w:t xml:space="preserve">: Überprüfung, ob HR-Strategien in den Bereichen Entwicklung, Weiterbildung und Leistungsmanagement wirksam sind.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ff6d25"/>
          <w:sz w:val="28"/>
          <w:szCs w:val="28"/>
          <w:rtl w:val="0"/>
        </w:rPr>
        <w:t xml:space="preserve">4. HR Audits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Methoden</w:t>
      </w:r>
      <w:r w:rsidDel="00000000" w:rsidR="00000000" w:rsidRPr="00000000">
        <w:rPr>
          <w:rtl w:val="0"/>
        </w:rPr>
        <w:t xml:space="preserve">: Interne oder externe Überprüfung von HR-Richtlinien, Compliance und Praktiken im Hinblick auf die Unternehmensziele.</w:t>
      </w:r>
    </w:p>
    <w:p w:rsidR="00000000" w:rsidDel="00000000" w:rsidP="00000000" w:rsidRDefault="00000000" w:rsidRPr="00000000" w14:paraId="00000013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Zweck</w:t>
      </w:r>
      <w:r w:rsidDel="00000000" w:rsidR="00000000" w:rsidRPr="00000000">
        <w:rPr>
          <w:rtl w:val="0"/>
        </w:rPr>
        <w:t xml:space="preserve">: Sicherstellen, dass HR-Praktiken mit Gesetzen, Unternehmensrichtlinien und strategischen Zielen im Einklang stehen.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ff6d25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ff6d25"/>
          <w:sz w:val="28"/>
          <w:szCs w:val="28"/>
          <w:rtl w:val="0"/>
        </w:rPr>
        <w:t xml:space="preserve">5. Benchmarking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Methode</w:t>
      </w:r>
      <w:r w:rsidDel="00000000" w:rsidR="00000000" w:rsidRPr="00000000">
        <w:rPr>
          <w:rtl w:val="0"/>
        </w:rPr>
        <w:t xml:space="preserve">: Vergleich von HR-Kennzahlen mit Branchenstandards oder Wettbewerbern.</w:t>
      </w:r>
    </w:p>
    <w:p w:rsidR="00000000" w:rsidDel="00000000" w:rsidP="00000000" w:rsidRDefault="00000000" w:rsidRPr="00000000" w14:paraId="00000018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Zweck</w:t>
      </w:r>
      <w:r w:rsidDel="00000000" w:rsidR="00000000" w:rsidRPr="00000000">
        <w:rPr>
          <w:rtl w:val="0"/>
        </w:rPr>
        <w:t xml:space="preserve">: Identifizierung von Lücken bei der Strategieumsetzung und von Verbesserungsmöglichkeiten.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ff6d25"/>
          <w:sz w:val="28"/>
          <w:szCs w:val="28"/>
          <w:rtl w:val="0"/>
        </w:rPr>
        <w:t xml:space="preserve">6. Balanced Scorecard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Methode</w:t>
      </w:r>
      <w:r w:rsidDel="00000000" w:rsidR="00000000" w:rsidRPr="00000000">
        <w:rPr>
          <w:rtl w:val="0"/>
        </w:rPr>
        <w:t xml:space="preserve">: Integration von HR-Indikatoren in ein umfassenderes Leistungsmanagement-Rahmenwerk (Finanzen, Kunden, interne Prozesse, Lernen &amp; Wachstum).</w:t>
      </w:r>
    </w:p>
    <w:p w:rsidR="00000000" w:rsidDel="00000000" w:rsidP="00000000" w:rsidRDefault="00000000" w:rsidRPr="00000000" w14:paraId="0000001C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Zweck</w:t>
      </w:r>
      <w:r w:rsidDel="00000000" w:rsidR="00000000" w:rsidRPr="00000000">
        <w:rPr>
          <w:rtl w:val="0"/>
        </w:rPr>
        <w:t xml:space="preserve">: Stellt sicher, dass die HR-Strategie zur allgemeinen Unternehmensstrategie beiträgt.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ff6d25"/>
          <w:sz w:val="28"/>
          <w:szCs w:val="28"/>
          <w:rtl w:val="0"/>
        </w:rPr>
        <w:t xml:space="preserve">7. Beobachtung &amp; Managementberichte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Methode</w:t>
      </w:r>
      <w:r w:rsidDel="00000000" w:rsidR="00000000" w:rsidRPr="00000000">
        <w:rPr>
          <w:rtl w:val="0"/>
        </w:rPr>
        <w:t xml:space="preserve">: Regelmäßige Berichte der Teamleitung zur Erfassung der Arbeitsplatzkultur und Produktivität.</w:t>
      </w:r>
    </w:p>
    <w:p w:rsidR="00000000" w:rsidDel="00000000" w:rsidP="00000000" w:rsidRDefault="00000000" w:rsidRPr="00000000" w14:paraId="00000020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Zweck</w:t>
      </w:r>
      <w:r w:rsidDel="00000000" w:rsidR="00000000" w:rsidRPr="00000000">
        <w:rPr>
          <w:rtl w:val="0"/>
        </w:rPr>
        <w:t xml:space="preserve">: Qualitative Einblicke in die Auswirkungen von HR-Initiativen auf den täglichen Betrieb liefern.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ff6d25"/>
          <w:sz w:val="28"/>
          <w:szCs w:val="28"/>
          <w:rtl w:val="0"/>
        </w:rPr>
        <w:t xml:space="preserve">8. Digitale HR Systeme &amp; Analysen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Tools</w:t>
      </w:r>
      <w:r w:rsidDel="00000000" w:rsidR="00000000" w:rsidRPr="00000000">
        <w:rPr>
          <w:rtl w:val="0"/>
        </w:rPr>
        <w:t xml:space="preserve">: HRIS (Human Resource Information Systems)oder auf KMU ausgerichtete Plattformen wie Gusto, Zenefits oder Personio.</w:t>
      </w:r>
    </w:p>
    <w:p w:rsidR="00000000" w:rsidDel="00000000" w:rsidP="00000000" w:rsidRDefault="00000000" w:rsidRPr="00000000" w14:paraId="00000024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Zweck</w:t>
      </w:r>
      <w:r w:rsidDel="00000000" w:rsidR="00000000" w:rsidRPr="00000000">
        <w:rPr>
          <w:rtl w:val="0"/>
        </w:rPr>
        <w:t xml:space="preserve">: Automatisiert die Datenerfassung, bietet Echtzeit-Dashboards und vereinfacht die Überwachung der Umsetzung der HR-Strategie.</w:t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b w:val="1"/>
          <w:bCs w:val="1"/>
          <w:rtl w:val="0"/>
        </w:rPr>
        <w:t xml:space="preserve">Best practice für KMU</w:t>
      </w:r>
      <w:r w:rsidDel="00000000" w:rsidR="00000000" w:rsidRPr="00000000">
        <w:rPr>
          <w:rtl w:val="0"/>
        </w:rPr>
        <w:t xml:space="preserve">: Fangen Sie klein an und kombinieren Sie </w:t>
      </w:r>
      <w:r w:rsidDel="00000000" w:rsidR="00000000" w:rsidRPr="00000000">
        <w:rPr>
          <w:b w:val="1"/>
          <w:bCs w:val="1"/>
          <w:rtl w:val="0"/>
        </w:rPr>
        <w:t xml:space="preserve">quantitative (KPIs, Scorecards, HR-Kennzahlen)</w:t>
      </w:r>
      <w:r w:rsidDel="00000000" w:rsidR="00000000" w:rsidRPr="00000000">
        <w:rPr>
          <w:rtl w:val="0"/>
        </w:rPr>
        <w:t xml:space="preserve"> mit </w:t>
      </w:r>
      <w:r w:rsidDel="00000000" w:rsidR="00000000" w:rsidRPr="00000000">
        <w:rPr>
          <w:b w:val="1"/>
          <w:bCs w:val="1"/>
          <w:rtl w:val="0"/>
        </w:rPr>
        <w:t xml:space="preserve">qualitativen (Umfragen, Beobachtungen von Führungskräften, Feedback)</w:t>
      </w:r>
      <w:r w:rsidDel="00000000" w:rsidR="00000000" w:rsidRPr="00000000">
        <w:rPr>
          <w:rtl w:val="0"/>
        </w:rPr>
        <w:t xml:space="preserve"> Methoden. Ein hybrider Ansatz liefert sowohl Zahlen als auch Kontext.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color w:val="ff6d25"/>
          <w:sz w:val="36"/>
          <w:szCs w:val="36"/>
        </w:rPr>
      </w:pPr>
      <w:r w:rsidDel="00000000" w:rsidR="00000000" w:rsidRPr="00000000">
        <w:rPr>
          <w:b w:val="1"/>
          <w:bCs w:val="1"/>
          <w:color w:val="ff6d25"/>
          <w:sz w:val="36"/>
          <w:szCs w:val="36"/>
          <w:rtl w:val="0"/>
        </w:rPr>
        <w:t xml:space="preserve">Practical HR Strategy Monitoring Framework for SMEs</w:t>
      </w:r>
    </w:p>
    <w:p w:rsidR="00000000" w:rsidDel="00000000" w:rsidP="00000000" w:rsidRDefault="00000000" w:rsidRPr="00000000" w14:paraId="0000002A">
      <w:pPr>
        <w:rPr>
          <w:b w:val="1"/>
          <w:bCs w:val="1"/>
          <w:color w:val="ff6d25"/>
        </w:rPr>
      </w:pPr>
      <w:r w:rsidDel="00000000" w:rsidR="00000000" w:rsidRPr="00000000">
        <w:rPr>
          <w:b w:val="1"/>
          <w:bCs w:val="1"/>
          <w:color w:val="ff6d25"/>
          <w:rtl w:val="0"/>
        </w:rPr>
        <w:t xml:space="preserve">Schritt </w:t>
      </w:r>
      <w:r w:rsidDel="00000000" w:rsidR="00000000" w:rsidRPr="00000000">
        <w:rPr>
          <w:b w:val="1"/>
          <w:bCs w:val="1"/>
          <w:color w:val="ff6d25"/>
          <w:rtl w:val="0"/>
        </w:rPr>
        <w:t xml:space="preserve">1: Definieren Sie strategische HR-Ziele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240" w:line="360" w:lineRule="auto"/>
        <w:ind w:left="720" w:hanging="360"/>
      </w:pPr>
      <w:r w:rsidDel="00000000" w:rsidR="00000000" w:rsidRPr="00000000">
        <w:rPr>
          <w:rtl w:val="0"/>
        </w:rPr>
        <w:t xml:space="preserve">Beispiel: </w:t>
      </w:r>
      <w:r w:rsidDel="00000000" w:rsidR="00000000" w:rsidRPr="00000000">
        <w:rPr>
          <w:i w:val="1"/>
          <w:iCs w:val="1"/>
          <w:rtl w:val="0"/>
        </w:rPr>
        <w:t xml:space="preserve">Fluktuation reduzieren, Mitarbeiterengagement verbessern, Kompetenzen durch Schulungen ausbauen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Halten Sie diese </w:t>
      </w:r>
      <w:r w:rsidDel="00000000" w:rsidR="00000000" w:rsidRPr="00000000">
        <w:rPr>
          <w:b w:val="1"/>
          <w:bCs w:val="1"/>
          <w:rtl w:val="0"/>
        </w:rPr>
        <w:t xml:space="preserve">SMART</w:t>
      </w:r>
      <w:r w:rsidDel="00000000" w:rsidR="00000000" w:rsidRPr="00000000">
        <w:rPr>
          <w:rtl w:val="0"/>
        </w:rPr>
        <w:t xml:space="preserve"> (spezifisch, messbar, erreichbar, relevant, terminiert).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color w:val="ff6d25"/>
        </w:rPr>
      </w:pPr>
      <w:r w:rsidDel="00000000" w:rsidR="00000000" w:rsidRPr="00000000">
        <w:rPr>
          <w:b w:val="1"/>
          <w:bCs w:val="1"/>
          <w:color w:val="ff6d25"/>
          <w:rtl w:val="0"/>
        </w:rPr>
        <w:t xml:space="preserve">Schritt 2: Wählen Sie Schlüsselkennzahlen (KPIs)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Wählen Sie 3–5 einfache, wirkungsvolle Indikatoren.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b w:val="1"/>
          <w:bCs w:val="1"/>
          <w:rtl w:val="0"/>
        </w:rPr>
        <w:t xml:space="preserve">Rekrutierung: </w:t>
      </w:r>
      <w:r w:rsidDel="00000000" w:rsidR="00000000" w:rsidRPr="00000000">
        <w:rPr>
          <w:rtl w:val="0"/>
        </w:rPr>
        <w:t xml:space="preserve">Zeit bis zur Einstellung, Kosten pro Einstellung.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b w:val="1"/>
          <w:bCs w:val="1"/>
          <w:rtl w:val="0"/>
        </w:rPr>
        <w:t xml:space="preserve">Mitarbeitendenbindung: </w:t>
      </w:r>
      <w:r w:rsidDel="00000000" w:rsidR="00000000" w:rsidRPr="00000000">
        <w:rPr>
          <w:rtl w:val="0"/>
        </w:rPr>
        <w:t xml:space="preserve">Fluktuationsrate, Fehlzeiten.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b w:val="1"/>
          <w:bCs w:val="1"/>
          <w:rtl w:val="0"/>
        </w:rPr>
        <w:t xml:space="preserve">Engagement: </w:t>
      </w:r>
      <w:r w:rsidDel="00000000" w:rsidR="00000000" w:rsidRPr="00000000">
        <w:rPr>
          <w:rtl w:val="0"/>
        </w:rPr>
        <w:t xml:space="preserve">Umfrageergebnis, Teilnahme an Unternehmensveranstaltungen.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b w:val="1"/>
          <w:bCs w:val="1"/>
          <w:rtl w:val="0"/>
        </w:rPr>
        <w:t xml:space="preserve">Weiterentwicklung: </w:t>
      </w:r>
      <w:r w:rsidDel="00000000" w:rsidR="00000000" w:rsidRPr="00000000">
        <w:rPr>
          <w:rtl w:val="0"/>
        </w:rPr>
        <w:t xml:space="preserve">% der geschulten Mitarbeitenden, erworbene Kompetenzen.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  <w:color w:val="ff6d25"/>
        </w:rPr>
      </w:pPr>
      <w:r w:rsidDel="00000000" w:rsidR="00000000" w:rsidRPr="00000000">
        <w:rPr>
          <w:b w:val="1"/>
          <w:bCs w:val="1"/>
          <w:color w:val="ff6d25"/>
          <w:rtl w:val="0"/>
        </w:rPr>
        <w:t xml:space="preserve">Schritt 3: Richten Sie die Datenerfassung ein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Nutzen Sie </w:t>
      </w:r>
      <w:r w:rsidDel="00000000" w:rsidR="00000000" w:rsidRPr="00000000">
        <w:rPr>
          <w:b w:val="1"/>
          <w:bCs w:val="1"/>
          <w:rtl w:val="0"/>
        </w:rPr>
        <w:t xml:space="preserve">kostengünstige, einfach zu verwaltende Methoden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b w:val="1"/>
          <w:bCs w:val="1"/>
          <w:rtl w:val="0"/>
        </w:rPr>
        <w:t xml:space="preserve">Excel/Google Sheets</w:t>
      </w:r>
      <w:r w:rsidDel="00000000" w:rsidR="00000000" w:rsidRPr="00000000">
        <w:rPr>
          <w:rtl w:val="0"/>
        </w:rPr>
        <w:t xml:space="preserve"> für KPIs.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b w:val="1"/>
          <w:bCs w:val="1"/>
          <w:rtl w:val="0"/>
        </w:rPr>
        <w:t xml:space="preserve">Kostenlose Umfrage-Tools </w:t>
      </w:r>
      <w:r w:rsidDel="00000000" w:rsidR="00000000" w:rsidRPr="00000000">
        <w:rPr>
          <w:rtl w:val="0"/>
        </w:rPr>
        <w:t xml:space="preserve">(Google Forms, SurveyMonkey) für Mitarbeiterfeedback.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b w:val="1"/>
          <w:bCs w:val="1"/>
          <w:rtl w:val="0"/>
        </w:rPr>
        <w:t xml:space="preserve">Einfache HR-Software</w:t>
      </w:r>
      <w:r w:rsidDel="00000000" w:rsidR="00000000" w:rsidRPr="00000000">
        <w:rPr>
          <w:rtl w:val="0"/>
        </w:rPr>
        <w:t xml:space="preserve"> (Zoho People, BambooHR, Gusto), sofern das Budget dies zulässt.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color w:val="ff6d25"/>
        </w:rPr>
      </w:pPr>
      <w:r w:rsidDel="00000000" w:rsidR="00000000" w:rsidRPr="00000000">
        <w:rPr>
          <w:b w:val="1"/>
          <w:bCs w:val="1"/>
          <w:color w:val="ff6d25"/>
          <w:rtl w:val="0"/>
        </w:rPr>
        <w:t xml:space="preserve">Schritt 4: Regelmäßige Überprüfung/Monitoring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Monthly</w:t>
      </w:r>
      <w:r w:rsidDel="00000000" w:rsidR="00000000" w:rsidRPr="00000000">
        <w:rPr>
          <w:rtl w:val="0"/>
        </w:rPr>
        <w:t xml:space="preserve">: Track KPIs (turnover, absences, new hires).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Quarterly</w:t>
      </w:r>
      <w:r w:rsidDel="00000000" w:rsidR="00000000" w:rsidRPr="00000000">
        <w:rPr>
          <w:rtl w:val="0"/>
        </w:rPr>
        <w:t xml:space="preserve">: Run short employee pulse surveys.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Bi-Annually/Annually</w:t>
      </w:r>
      <w:r w:rsidDel="00000000" w:rsidR="00000000" w:rsidRPr="00000000">
        <w:rPr>
          <w:rtl w:val="0"/>
        </w:rPr>
        <w:t xml:space="preserve">: Do performance appraisals, training effectiveness reviews, HR audits.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b w:val="1"/>
          <w:bCs w:val="1"/>
          <w:rtl w:val="0"/>
        </w:rPr>
        <w:t xml:space="preserve">Monatlich:</w:t>
      </w:r>
      <w:r w:rsidDel="00000000" w:rsidR="00000000" w:rsidRPr="00000000">
        <w:rPr>
          <w:rtl w:val="0"/>
        </w:rPr>
        <w:t xml:space="preserve"> Verfolgen Sie die KPIs (Fluktuation, Fehlzeiten, Neueinstellungen).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b w:val="1"/>
          <w:bCs w:val="1"/>
          <w:rtl w:val="0"/>
        </w:rPr>
        <w:t xml:space="preserve">Vierteljährlich: </w:t>
      </w:r>
      <w:r w:rsidDel="00000000" w:rsidR="00000000" w:rsidRPr="00000000">
        <w:rPr>
          <w:rtl w:val="0"/>
        </w:rPr>
        <w:t xml:space="preserve">Führen Sie kurze Mitarbeitendenbefragungen durch.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b w:val="1"/>
          <w:bCs w:val="1"/>
          <w:rtl w:val="0"/>
        </w:rPr>
        <w:t xml:space="preserve">Halbjährlich/jährlich:</w:t>
      </w:r>
      <w:r w:rsidDel="00000000" w:rsidR="00000000" w:rsidRPr="00000000">
        <w:rPr>
          <w:rtl w:val="0"/>
        </w:rPr>
        <w:t xml:space="preserve"> Führen Sie Leistungsbeurteilungen, Überprüfungen der Schulungseffektivität und HR-Audits durch.</w:t>
      </w:r>
    </w:p>
    <w:p w:rsidR="00000000" w:rsidDel="00000000" w:rsidP="00000000" w:rsidRDefault="00000000" w:rsidRPr="00000000" w14:paraId="00000042">
      <w:pPr>
        <w:rPr>
          <w:color w:val="ff6d25"/>
        </w:rPr>
      </w:pPr>
      <w:r w:rsidDel="00000000" w:rsidR="00000000" w:rsidRPr="00000000">
        <w:rPr>
          <w:b w:val="1"/>
          <w:bCs w:val="1"/>
          <w:color w:val="ff6d25"/>
          <w:rtl w:val="0"/>
        </w:rPr>
        <w:t xml:space="preserve">Schritt 5: Analysieren &amp; Vergleichen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Vergleichen Sie die Ergebnisse mit früheren Leistungen (Trends).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Führen Sie einen Vergleich mit Branchendurchschnitten durch (sofern verfügbar).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Achten Sie auf Warnsignale (z. B. steigende Fluktuation, geringes Engagement).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  <w:color w:val="ff6d25"/>
        </w:rPr>
      </w:pPr>
      <w:r w:rsidDel="00000000" w:rsidR="00000000" w:rsidRPr="00000000">
        <w:rPr>
          <w:b w:val="1"/>
          <w:bCs w:val="1"/>
          <w:color w:val="ff6d25"/>
          <w:rtl w:val="0"/>
        </w:rPr>
        <w:t xml:space="preserve">Schritt 6: Ergebnisse berichten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Erstellen Sie ein </w:t>
      </w:r>
      <w:r w:rsidDel="00000000" w:rsidR="00000000" w:rsidRPr="00000000">
        <w:rPr>
          <w:b w:val="1"/>
          <w:bCs w:val="1"/>
          <w:rtl w:val="0"/>
        </w:rPr>
        <w:t xml:space="preserve">1-seitiges HR-Dashboard</w:t>
      </w:r>
      <w:r w:rsidDel="00000000" w:rsidR="00000000" w:rsidRPr="00000000">
        <w:rPr>
          <w:rtl w:val="0"/>
        </w:rPr>
        <w:t xml:space="preserve"> mit Grafiken oder Ampelsymbolen</w:t>
      </w:r>
    </w:p>
    <w:p w:rsidR="00000000" w:rsidDel="00000000" w:rsidP="00000000" w:rsidRDefault="00000000" w:rsidRPr="00000000" w14:paraId="00000049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🟢</w:t>
      </w:r>
      <w:r w:rsidDel="00000000" w:rsidR="00000000" w:rsidRPr="00000000">
        <w:rPr>
          <w:rtl w:val="0"/>
        </w:rPr>
        <w:t xml:space="preserve"> Auf Kurs</w:t>
      </w:r>
    </w:p>
    <w:p w:rsidR="00000000" w:rsidDel="00000000" w:rsidP="00000000" w:rsidRDefault="00000000" w:rsidRPr="00000000" w14:paraId="0000004A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🟡</w:t>
      </w:r>
      <w:r w:rsidDel="00000000" w:rsidR="00000000" w:rsidRPr="00000000">
        <w:rPr>
          <w:rtl w:val="0"/>
        </w:rPr>
        <w:t xml:space="preserve"> Erfordert Aufmerksamkeit</w:t>
      </w:r>
    </w:p>
    <w:p w:rsidR="00000000" w:rsidDel="00000000" w:rsidP="00000000" w:rsidRDefault="00000000" w:rsidRPr="00000000" w14:paraId="0000004B">
      <w:pPr>
        <w:numPr>
          <w:ilvl w:val="1"/>
          <w:numId w:val="6"/>
        </w:numPr>
        <w:spacing w:after="160" w:afterAutospacing="0"/>
        <w:ind w:left="144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🔴</w:t>
      </w:r>
      <w:r w:rsidDel="00000000" w:rsidR="00000000" w:rsidRPr="00000000">
        <w:rPr>
          <w:rtl w:val="0"/>
        </w:rPr>
        <w:t xml:space="preserve">Nicht auf Kurs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spacing w:after="240" w:before="160" w:beforeAutospacing="0" w:lineRule="auto"/>
        <w:ind w:left="720" w:hanging="360"/>
      </w:pPr>
      <w:r w:rsidDel="00000000" w:rsidR="00000000" w:rsidRPr="00000000">
        <w:rPr>
          <w:rtl w:val="0"/>
        </w:rPr>
        <w:t xml:space="preserve">Teilen Sie dies mit der Geschäftsleitung und den Teamleitungen zur Diskussion.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color w:val="ff6d25"/>
        </w:rPr>
      </w:pPr>
      <w:r w:rsidDel="00000000" w:rsidR="00000000" w:rsidRPr="00000000">
        <w:rPr>
          <w:b w:val="1"/>
          <w:bCs w:val="1"/>
          <w:color w:val="ff6d25"/>
          <w:rtl w:val="0"/>
        </w:rPr>
        <w:t xml:space="preserve">Schritt 7: Maßnahmen ergreifen &amp; anpassen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Wenn die Fluktuation hoch ist → die Mitarbeitendenbindung stärken (Onboarding, Anerkennung, Zusatzleistungen).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Wenn die Abschlussquote der Schulungen niedrig ist → Zeitplan oder Format anpassen.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Wenn das Engagement sinkt → Fokusgruppen durchführen, um die Ursachen zu ermitteln.</w:t>
      </w:r>
    </w:p>
    <w:p w:rsidR="00000000" w:rsidDel="00000000" w:rsidP="00000000" w:rsidRDefault="00000000" w:rsidRPr="00000000" w14:paraId="00000052">
      <w:pPr>
        <w:rPr>
          <w:color w:val="ff6d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1"/>
          <w:bCs w:val="1"/>
          <w:color w:val="ff6d25"/>
        </w:rPr>
      </w:pPr>
      <w:r w:rsidDel="00000000" w:rsidR="00000000" w:rsidRPr="00000000">
        <w:rPr>
          <w:b w:val="1"/>
          <w:bCs w:val="1"/>
          <w:color w:val="ff6d25"/>
          <w:rtl w:val="0"/>
        </w:rPr>
        <w:t xml:space="preserve">Schritt 8: Kontinuierlicher Feedback-Kreislauf</w:t>
      </w:r>
    </w:p>
    <w:p w:rsidR="00000000" w:rsidDel="00000000" w:rsidP="00000000" w:rsidRDefault="00000000" w:rsidRPr="00000000" w14:paraId="00000054">
      <w:pPr>
        <w:numPr>
          <w:ilvl w:val="0"/>
          <w:numId w:val="8"/>
        </w:numPr>
        <w:spacing w:after="160" w:afterAutospacing="0"/>
        <w:ind w:left="720" w:hanging="360"/>
        <w:rPr/>
      </w:pPr>
      <w:r w:rsidDel="00000000" w:rsidR="00000000" w:rsidRPr="00000000">
        <w:rPr>
          <w:rtl w:val="0"/>
        </w:rPr>
        <w:t xml:space="preserve">Kombinieren Sie </w:t>
      </w:r>
      <w:r w:rsidDel="00000000" w:rsidR="00000000" w:rsidRPr="00000000">
        <w:rPr>
          <w:b w:val="1"/>
          <w:bCs w:val="1"/>
          <w:rtl w:val="0"/>
        </w:rPr>
        <w:t xml:space="preserve">quantitative Daten (KPIs)</w:t>
      </w:r>
      <w:r w:rsidDel="00000000" w:rsidR="00000000" w:rsidRPr="00000000">
        <w:rPr>
          <w:rtl w:val="0"/>
        </w:rPr>
        <w:t xml:space="preserve"> mit </w:t>
      </w:r>
      <w:r w:rsidDel="00000000" w:rsidR="00000000" w:rsidRPr="00000000">
        <w:rPr>
          <w:b w:val="1"/>
          <w:bCs w:val="1"/>
          <w:rtl w:val="0"/>
        </w:rPr>
        <w:t xml:space="preserve">qualitativen Erkenntnissen (Umfragen, Berichte von Führungskräften)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5">
      <w:pPr>
        <w:numPr>
          <w:ilvl w:val="0"/>
          <w:numId w:val="8"/>
        </w:numPr>
        <w:spacing w:after="240" w:before="160" w:beforeAutospacing="0" w:lineRule="auto"/>
        <w:ind w:left="720" w:hanging="360"/>
      </w:pPr>
      <w:r w:rsidDel="00000000" w:rsidR="00000000" w:rsidRPr="00000000">
        <w:rPr>
          <w:rtl w:val="0"/>
        </w:rPr>
        <w:t xml:space="preserve">Aktualisieren Sie Strategien auf Basis der Ergebnisse und wiederholen Sie den Zyklus.</w:t>
      </w:r>
    </w:p>
    <w:p w:rsidR="00000000" w:rsidDel="00000000" w:rsidP="00000000" w:rsidRDefault="00000000" w:rsidRPr="00000000" w14:paraId="0000005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  <w:color w:val="ff6d25"/>
          <w:sz w:val="28"/>
          <w:szCs w:val="28"/>
        </w:rPr>
      </w:pPr>
      <w:r w:rsidDel="00000000" w:rsidR="00000000" w:rsidRPr="00000000">
        <w:rPr>
          <w:b w:val="1"/>
          <w:bCs w:val="1"/>
          <w:color w:val="ff6d25"/>
          <w:sz w:val="28"/>
          <w:szCs w:val="28"/>
          <w:rtl w:val="0"/>
        </w:rPr>
        <w:t xml:space="preserve">Praxisbeispiel (KMU im Einzelhandel):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HR-Ziel → Mitarbeiterbindung verbessern.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KPI → Fluktuation innerhalb von 12 Monaten von 25 % auf 15 % senken.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Daten → Monatliche Fluktuationsdaten in Excel erfasst + vierteljährliche Umfrage zur Mitarbeiterbindung.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Überwachung → Der Personalmanager überprüft die Daten monatlich.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Analyse → Die Fluktuation sinkt innerhalb von 6 Monaten auf 18 %.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Maßnahme → Programme zur Karriereförderung ausbauen.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</w:pPr>
      <w:r w:rsidDel="00000000" w:rsidR="00000000" w:rsidRPr="00000000">
        <w:rPr>
          <w:rtl w:val="0"/>
        </w:rPr>
        <w:t xml:space="preserve">Kontinuierlich → In 6 Monaten erneut überprüfen.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widowControl w:val="0"/>
      <w:spacing w:line="258.9999936" w:lineRule="auto"/>
      <w:ind w:left="2160" w:firstLine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-839306</wp:posOffset>
          </wp:positionH>
          <wp:positionV relativeFrom="paragraph">
            <wp:posOffset>123825</wp:posOffset>
          </wp:positionV>
          <wp:extent cx="7443391" cy="590550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43391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-636269</wp:posOffset>
          </wp:positionH>
          <wp:positionV relativeFrom="paragraph">
            <wp:posOffset>-240029</wp:posOffset>
          </wp:positionV>
          <wp:extent cx="1597032" cy="604434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32" cy="60443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berschrift7">
    <w:name w:val="heading 7"/>
    <w:basedOn w:val="Standard"/>
    <w:next w:val="Standard"/>
    <w:link w:val="berschrift7Zchn"/>
    <w:uiPriority w:val="9"/>
    <w:semiHidden w:val="1"/>
    <w:unhideWhenUsed w:val="1"/>
    <w:qFormat w:val="1"/>
    <w:rsid w:val="00EB7A3B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berschrift8">
    <w:name w:val="heading 8"/>
    <w:basedOn w:val="Standard"/>
    <w:next w:val="Standard"/>
    <w:link w:val="berschrift8Zchn"/>
    <w:uiPriority w:val="9"/>
    <w:semiHidden w:val="1"/>
    <w:unhideWhenUsed w:val="1"/>
    <w:qFormat w:val="1"/>
    <w:rsid w:val="00EB7A3B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berschrift9">
    <w:name w:val="heading 9"/>
    <w:basedOn w:val="Standard"/>
    <w:next w:val="Standard"/>
    <w:link w:val="berschrift9Zchn"/>
    <w:uiPriority w:val="9"/>
    <w:semiHidden w:val="1"/>
    <w:unhideWhenUsed w:val="1"/>
    <w:qFormat w:val="1"/>
    <w:rsid w:val="00EB7A3B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bsatz-Standardschriftart" w:default="1">
    <w:name w:val="Default Paragraph Font"/>
    <w:uiPriority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character" w:styleId="berschrift1Zchn" w:customStyle="1">
    <w:name w:val="Überschrift 1 Zchn"/>
    <w:basedOn w:val="Absatz-Standardschriftart"/>
    <w:link w:val="berschrift1"/>
    <w:uiPriority w:val="9"/>
    <w:rsid w:val="00EB7A3B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 w:val="1"/>
    <w:rsid w:val="00EB7A3B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 w:val="1"/>
    <w:rsid w:val="00EB7A3B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 w:val="1"/>
    <w:rsid w:val="00EB7A3B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 w:val="1"/>
    <w:rsid w:val="00EB7A3B"/>
    <w:rPr>
      <w:rFonts w:cstheme="majorBidi" w:eastAsiaTheme="majorEastAsia"/>
      <w:color w:val="2f5496" w:themeColor="accent1" w:themeShade="0000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 w:val="1"/>
    <w:rsid w:val="00EB7A3B"/>
    <w:rPr>
      <w:rFonts w:cstheme="majorBidi" w:eastAsiaTheme="majorEastAsia"/>
      <w:i w:val="1"/>
      <w:iCs w:val="1"/>
      <w:color w:val="595959" w:themeColor="text1" w:themeTint="0000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 w:val="1"/>
    <w:rsid w:val="00EB7A3B"/>
    <w:rPr>
      <w:rFonts w:cstheme="majorBidi" w:eastAsiaTheme="majorEastAsia"/>
      <w:color w:val="595959" w:themeColor="text1" w:themeTint="0000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 w:val="1"/>
    <w:rsid w:val="00EB7A3B"/>
    <w:rPr>
      <w:rFonts w:cstheme="majorBidi" w:eastAsiaTheme="majorEastAsia"/>
      <w:i w:val="1"/>
      <w:iCs w:val="1"/>
      <w:color w:val="272727" w:themeColor="text1" w:themeTint="0000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 w:val="1"/>
    <w:rsid w:val="00EB7A3B"/>
    <w:rPr>
      <w:rFonts w:cstheme="majorBidi" w:eastAsiaTheme="majorEastAsia"/>
      <w:color w:val="272727" w:themeColor="text1" w:themeTint="0000D8"/>
    </w:rPr>
  </w:style>
  <w:style w:type="character" w:styleId="TitelZchn" w:customStyle="1">
    <w:name w:val="Titel Zchn"/>
    <w:basedOn w:val="Absatz-Standardschriftart"/>
    <w:link w:val="Titel"/>
    <w:uiPriority w:val="10"/>
    <w:rsid w:val="00EB7A3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EB7A3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 w:val="1"/>
    <w:rsid w:val="00EB7A3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ZitatZchn" w:customStyle="1">
    <w:name w:val="Zitat Zchn"/>
    <w:basedOn w:val="Absatz-Standardschriftart"/>
    <w:link w:val="Zitat"/>
    <w:uiPriority w:val="29"/>
    <w:rsid w:val="00EB7A3B"/>
    <w:rPr>
      <w:i w:val="1"/>
      <w:iCs w:val="1"/>
      <w:color w:val="404040" w:themeColor="text1" w:themeTint="0000BF"/>
    </w:rPr>
  </w:style>
  <w:style w:type="paragraph" w:styleId="Listenabsatz">
    <w:name w:val="List Paragraph"/>
    <w:basedOn w:val="Standard"/>
    <w:uiPriority w:val="34"/>
    <w:qFormat w:val="1"/>
    <w:rsid w:val="00EB7A3B"/>
    <w:pPr>
      <w:ind w:left="720"/>
      <w:contextualSpacing w:val="1"/>
    </w:pPr>
  </w:style>
  <w:style w:type="character" w:styleId="IntensiveHervorhebung">
    <w:name w:val="Intense Emphasis"/>
    <w:basedOn w:val="Absatz-Standardschriftart"/>
    <w:uiPriority w:val="21"/>
    <w:qFormat w:val="1"/>
    <w:rsid w:val="00EB7A3B"/>
    <w:rPr>
      <w:i w:val="1"/>
      <w:iCs w:val="1"/>
      <w:color w:val="2f5496" w:themeColor="accent1" w:themeShade="0000BF"/>
    </w:rPr>
  </w:style>
  <w:style w:type="paragraph" w:styleId="IntensivesZitat">
    <w:name w:val="Intense Quote"/>
    <w:basedOn w:val="Standard"/>
    <w:next w:val="Standard"/>
    <w:link w:val="IntensivesZitatZchn"/>
    <w:uiPriority w:val="30"/>
    <w:qFormat w:val="1"/>
    <w:rsid w:val="00EB7A3B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EB7A3B"/>
    <w:rPr>
      <w:i w:val="1"/>
      <w:iCs w:val="1"/>
      <w:color w:val="2f5496" w:themeColor="accent1" w:themeShade="0000BF"/>
    </w:rPr>
  </w:style>
  <w:style w:type="character" w:styleId="IntensiverVerweis">
    <w:name w:val="Intense Reference"/>
    <w:basedOn w:val="Absatz-Standardschriftart"/>
    <w:uiPriority w:val="32"/>
    <w:qFormat w:val="1"/>
    <w:rsid w:val="00EB7A3B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l2syEtQh6juHxUpVkDcsCFRmJQ==">CgMxLjA4AHIhMVhsbkN0LUczWGViQlAtcTlSNEFtSHJUc0lpdkhiNW9K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2025-09-11T09:26:00Z</dcterms:created>
  <dc:creator>Georg Müllner</dc:creator>
</cp:coreProperties>
</file>