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3"/>
        <w:gridCol w:w="6752"/>
        <w:tblGridChange w:id="0">
          <w:tblGrid>
            <w:gridCol w:w="2263"/>
            <w:gridCol w:w="6752"/>
          </w:tblGrid>
        </w:tblGridChange>
      </w:tblGrid>
      <w:tr>
        <w:trPr>
          <w:cantSplit w:val="0"/>
          <w:trHeight w:val="406" w:hRule="atLeast"/>
          <w:tblHeader w:val="0"/>
        </w:trPr>
        <w:tc>
          <w:tcPr>
            <w:shd w:fill="ff6d25" w:val="clear"/>
          </w:tcPr>
          <w:p w:rsidR="00000000" w:rsidDel="00000000" w:rsidP="00000000" w:rsidRDefault="00000000" w:rsidRPr="00000000" w14:paraId="00000002">
            <w:pPr>
              <w:pStyle w:val="Heading1"/>
              <w:spacing w:after="60" w:before="60" w:line="276" w:lineRule="auto"/>
              <w:rPr>
                <w:rFonts w:ascii="Arial" w:cs="Arial" w:eastAsia="Arial" w:hAnsi="Arial"/>
                <w:color w:val="ffffff"/>
                <w:sz w:val="21"/>
                <w:szCs w:val="21"/>
              </w:rPr>
            </w:pPr>
            <w:r w:rsidDel="00000000" w:rsidR="00000000" w:rsidRPr="00000000">
              <w:rPr>
                <w:rFonts w:ascii="Arial" w:cs="Arial" w:eastAsia="Arial" w:hAnsi="Arial"/>
                <w:color w:val="ffffff"/>
                <w:sz w:val="21"/>
                <w:szCs w:val="21"/>
                <w:rtl w:val="0"/>
              </w:rPr>
              <w:t xml:space="preserve">Unit Titel</w:t>
            </w:r>
          </w:p>
          <w:p w:rsidR="00000000" w:rsidDel="00000000" w:rsidP="00000000" w:rsidRDefault="00000000" w:rsidRPr="00000000" w14:paraId="00000003">
            <w:pPr>
              <w:spacing w:after="60" w:before="60" w:line="276" w:lineRule="auto"/>
              <w:rPr>
                <w:color w:val="ffffff"/>
                <w:sz w:val="21"/>
                <w:szCs w:val="21"/>
              </w:rPr>
            </w:pPr>
            <w:r w:rsidDel="00000000" w:rsidR="00000000" w:rsidRPr="00000000">
              <w:rPr>
                <w:rtl w:val="0"/>
              </w:rPr>
            </w:r>
          </w:p>
        </w:tc>
        <w:tc>
          <w:tcPr>
            <w:vAlign w:val="center"/>
          </w:tcPr>
          <w:p w:rsidR="00000000" w:rsidDel="00000000" w:rsidP="00000000" w:rsidRDefault="00000000" w:rsidRPr="00000000" w14:paraId="00000004">
            <w:pPr>
              <w:pStyle w:val="Heading1"/>
              <w:spacing w:line="276" w:lineRule="auto"/>
              <w:jc w:val="center"/>
              <w:rPr>
                <w:rFonts w:ascii="Arial" w:cs="Arial" w:eastAsia="Arial" w:hAnsi="Arial"/>
                <w:sz w:val="21"/>
                <w:szCs w:val="21"/>
              </w:rPr>
            </w:pPr>
            <w:r w:rsidDel="00000000" w:rsidR="00000000" w:rsidRPr="00000000">
              <w:rPr>
                <w:rFonts w:ascii="Arial" w:cs="Arial" w:eastAsia="Arial" w:hAnsi="Arial"/>
                <w:sz w:val="21"/>
                <w:szCs w:val="21"/>
                <w:rtl w:val="0"/>
              </w:rPr>
              <w:t xml:space="preserve">Monitoring – Indikatoren and Tools (Tag 1,2 und 3)</w:t>
            </w:r>
          </w:p>
        </w:tc>
      </w:tr>
      <w:tr>
        <w:trPr>
          <w:cantSplit w:val="0"/>
          <w:trHeight w:val="426" w:hRule="atLeast"/>
          <w:tblHeader w:val="0"/>
        </w:trPr>
        <w:tc>
          <w:tcPr>
            <w:shd w:fill="f2f2f2" w:val="clear"/>
          </w:tcPr>
          <w:p w:rsidR="00000000" w:rsidDel="00000000" w:rsidP="00000000" w:rsidRDefault="00000000" w:rsidRPr="00000000" w14:paraId="00000005">
            <w:pPr>
              <w:spacing w:after="60" w:before="60" w:line="276" w:lineRule="auto"/>
              <w:rPr>
                <w:b w:val="1"/>
                <w:bCs w:val="1"/>
                <w:sz w:val="21"/>
                <w:szCs w:val="21"/>
              </w:rPr>
            </w:pPr>
            <w:r w:rsidDel="00000000" w:rsidR="00000000" w:rsidRPr="00000000">
              <w:rPr>
                <w:b w:val="1"/>
                <w:bCs w:val="1"/>
                <w:sz w:val="21"/>
                <w:szCs w:val="21"/>
                <w:rtl w:val="0"/>
              </w:rPr>
              <w:t xml:space="preserve">Dauer der Aktivität</w:t>
            </w:r>
          </w:p>
          <w:p w:rsidR="00000000" w:rsidDel="00000000" w:rsidP="00000000" w:rsidRDefault="00000000" w:rsidRPr="00000000" w14:paraId="00000006">
            <w:pPr>
              <w:spacing w:after="60" w:before="60" w:line="276" w:lineRule="auto"/>
              <w:rPr>
                <w:b w:val="1"/>
                <w:bCs w:val="1"/>
                <w:sz w:val="21"/>
                <w:szCs w:val="21"/>
              </w:rPr>
            </w:pPr>
            <w:r w:rsidDel="00000000" w:rsidR="00000000" w:rsidRPr="00000000">
              <w:rPr>
                <w:rtl w:val="0"/>
              </w:rPr>
            </w:r>
          </w:p>
        </w:tc>
        <w:tc>
          <w:tcPr>
            <w:vAlign w:val="center"/>
          </w:tcPr>
          <w:p w:rsidR="00000000" w:rsidDel="00000000" w:rsidP="00000000" w:rsidRDefault="00000000" w:rsidRPr="00000000" w14:paraId="00000007">
            <w:pPr>
              <w:spacing w:line="276" w:lineRule="auto"/>
              <w:rPr>
                <w:sz w:val="21"/>
                <w:szCs w:val="21"/>
              </w:rPr>
            </w:pPr>
            <w:r w:rsidDel="00000000" w:rsidR="00000000" w:rsidRPr="00000000">
              <w:rPr>
                <w:sz w:val="21"/>
                <w:szCs w:val="21"/>
                <w:rtl w:val="0"/>
              </w:rPr>
              <w:t xml:space="preserve">45 Minuten </w:t>
            </w:r>
          </w:p>
        </w:tc>
      </w:tr>
      <w:tr>
        <w:trPr>
          <w:cantSplit w:val="0"/>
          <w:trHeight w:val="426" w:hRule="atLeast"/>
          <w:tblHeader w:val="0"/>
        </w:trPr>
        <w:tc>
          <w:tcPr>
            <w:shd w:fill="f2f2f2" w:val="clear"/>
          </w:tcPr>
          <w:p w:rsidR="00000000" w:rsidDel="00000000" w:rsidP="00000000" w:rsidRDefault="00000000" w:rsidRPr="00000000" w14:paraId="00000008">
            <w:pPr>
              <w:spacing w:after="60" w:before="60" w:line="276" w:lineRule="auto"/>
              <w:rPr>
                <w:b w:val="1"/>
                <w:bCs w:val="1"/>
                <w:sz w:val="21"/>
                <w:szCs w:val="21"/>
              </w:rPr>
            </w:pPr>
            <w:r w:rsidDel="00000000" w:rsidR="00000000" w:rsidRPr="00000000">
              <w:rPr>
                <w:b w:val="1"/>
                <w:bCs w:val="1"/>
                <w:sz w:val="21"/>
                <w:szCs w:val="21"/>
                <w:rtl w:val="0"/>
              </w:rPr>
              <w:t xml:space="preserve">Lernziele</w:t>
            </w:r>
          </w:p>
        </w:tc>
        <w:tc>
          <w:tcPr/>
          <w:p w:rsidR="00000000" w:rsidDel="00000000" w:rsidP="00000000" w:rsidRDefault="00000000" w:rsidRPr="00000000" w14:paraId="00000009">
            <w:pPr>
              <w:spacing w:line="276" w:lineRule="auto"/>
              <w:rPr>
                <w:sz w:val="21"/>
                <w:szCs w:val="21"/>
              </w:rPr>
            </w:pPr>
            <w:r w:rsidDel="00000000" w:rsidR="00000000" w:rsidRPr="00000000">
              <w:rPr>
                <w:sz w:val="21"/>
                <w:szCs w:val="21"/>
                <w:rtl w:val="0"/>
              </w:rPr>
              <w:t xml:space="preserve">Nach Abschluss dieser Aktivität sind die Lernenden in der Lage,…</w:t>
            </w:r>
          </w:p>
          <w:p w:rsidR="00000000" w:rsidDel="00000000" w:rsidP="00000000" w:rsidRDefault="00000000" w:rsidRPr="00000000" w14:paraId="0000000A">
            <w:pPr>
              <w:numPr>
                <w:ilvl w:val="0"/>
                <w:numId w:val="3"/>
              </w:numPr>
              <w:pBdr>
                <w:top w:space="0" w:sz="0" w:val="nil"/>
                <w:left w:space="0" w:sz="0" w:val="nil"/>
                <w:bottom w:space="0" w:sz="0" w:val="nil"/>
                <w:right w:space="0" w:sz="0" w:val="nil"/>
                <w:between w:space="0" w:sz="0" w:val="nil"/>
              </w:pBdr>
              <w:spacing w:after="0" w:line="276" w:lineRule="auto"/>
              <w:ind w:left="720" w:hanging="360"/>
              <w:rPr>
                <w:color w:val="000000"/>
                <w:sz w:val="21"/>
                <w:szCs w:val="21"/>
              </w:rPr>
            </w:pPr>
            <w:r w:rsidDel="00000000" w:rsidR="00000000" w:rsidRPr="00000000">
              <w:rPr>
                <w:sz w:val="21"/>
                <w:szCs w:val="21"/>
                <w:rtl w:val="0"/>
              </w:rPr>
              <w:t xml:space="preserve">die Bedeutung der Überwachung ausgearbeiteter Strategien zur Verbesserung der Vollzeitbeschäftigung von Frauen, der Arbeitsbedingungen älterer Arbeitnehmenden, der Migration und Vielfalt sowie der Weiterqualifizierung gering qualifizierter Arbeitnehmenden im eigenen Unternehmen zu verstehen.</w:t>
            </w:r>
            <w:r w:rsidDel="00000000" w:rsidR="00000000" w:rsidRPr="00000000">
              <w:rPr>
                <w:rtl w:val="0"/>
              </w:rPr>
            </w:r>
          </w:p>
          <w:p w:rsidR="00000000" w:rsidDel="00000000" w:rsidP="00000000" w:rsidRDefault="00000000" w:rsidRPr="00000000" w14:paraId="0000000B">
            <w:pPr>
              <w:numPr>
                <w:ilvl w:val="0"/>
                <w:numId w:val="3"/>
              </w:numPr>
              <w:pBdr>
                <w:top w:space="0" w:sz="0" w:val="nil"/>
                <w:left w:space="0" w:sz="0" w:val="nil"/>
                <w:bottom w:space="0" w:sz="0" w:val="nil"/>
                <w:right w:space="0" w:sz="0" w:val="nil"/>
                <w:between w:space="0" w:sz="0" w:val="nil"/>
              </w:pBdr>
              <w:spacing w:after="0" w:line="276" w:lineRule="auto"/>
              <w:ind w:left="720" w:hanging="360"/>
              <w:rPr>
                <w:color w:val="000000"/>
                <w:sz w:val="21"/>
                <w:szCs w:val="21"/>
              </w:rPr>
            </w:pPr>
            <w:r w:rsidDel="00000000" w:rsidR="00000000" w:rsidRPr="00000000">
              <w:rPr>
                <w:color w:val="000000"/>
                <w:sz w:val="21"/>
                <w:szCs w:val="21"/>
                <w:rtl w:val="0"/>
              </w:rPr>
              <w:t xml:space="preserve">relevante Indikatoren zur Erfassung des Erfolgs und der Leistung der identifizierten Strategien zu ermitteln, um die Möglichkeiten für die definierten Handlungsebenen (4) zu verbessern.</w:t>
            </w:r>
          </w:p>
          <w:p w:rsidR="00000000" w:rsidDel="00000000" w:rsidP="00000000" w:rsidRDefault="00000000" w:rsidRPr="00000000" w14:paraId="0000000C">
            <w:pPr>
              <w:numPr>
                <w:ilvl w:val="0"/>
                <w:numId w:val="3"/>
              </w:numPr>
              <w:pBdr>
                <w:top w:space="0" w:sz="0" w:val="nil"/>
                <w:left w:space="0" w:sz="0" w:val="nil"/>
                <w:bottom w:space="0" w:sz="0" w:val="nil"/>
                <w:right w:space="0" w:sz="0" w:val="nil"/>
                <w:between w:space="0" w:sz="0" w:val="nil"/>
              </w:pBdr>
              <w:spacing w:after="160" w:line="276" w:lineRule="auto"/>
              <w:ind w:left="720" w:hanging="360"/>
              <w:rPr>
                <w:color w:val="000000"/>
                <w:sz w:val="21"/>
                <w:szCs w:val="21"/>
              </w:rPr>
            </w:pPr>
            <w:r w:rsidDel="00000000" w:rsidR="00000000" w:rsidRPr="00000000">
              <w:rPr>
                <w:color w:val="000000"/>
                <w:sz w:val="21"/>
                <w:szCs w:val="21"/>
                <w:rtl w:val="0"/>
              </w:rPr>
              <w:t xml:space="preserve">einfache Instrumente zur Überwachung des Erfolgs von Strategien und Maßnahmen zu erkunden.</w:t>
            </w:r>
          </w:p>
          <w:p w:rsidR="00000000" w:rsidDel="00000000" w:rsidP="00000000" w:rsidRDefault="00000000" w:rsidRPr="00000000" w14:paraId="0000000D">
            <w:pPr>
              <w:numPr>
                <w:ilvl w:val="0"/>
                <w:numId w:val="3"/>
              </w:numPr>
              <w:pBdr>
                <w:top w:space="0" w:sz="0" w:val="nil"/>
                <w:left w:space="0" w:sz="0" w:val="nil"/>
                <w:bottom w:space="0" w:sz="0" w:val="nil"/>
                <w:right w:space="0" w:sz="0" w:val="nil"/>
                <w:between w:space="0" w:sz="0" w:val="nil"/>
              </w:pBdr>
              <w:spacing w:after="160" w:line="276" w:lineRule="auto"/>
              <w:ind w:left="720" w:hanging="360"/>
              <w:rPr>
                <w:color w:val="000000"/>
                <w:sz w:val="21"/>
                <w:szCs w:val="21"/>
              </w:rPr>
            </w:pPr>
            <w:r w:rsidDel="00000000" w:rsidR="00000000" w:rsidRPr="00000000">
              <w:rPr>
                <w:sz w:val="21"/>
                <w:szCs w:val="21"/>
                <w:rtl w:val="0"/>
              </w:rPr>
              <w:t xml:space="preserve">einfache Instrumente und Methoden zur Erfolgs- und Leistungsüberwachung sowie zur Abweichungsanalyse und zur Überprüfung der Indikatorerreichung anzuwenden.</w:t>
            </w: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00E">
            <w:pPr>
              <w:spacing w:after="60" w:before="60" w:line="276" w:lineRule="auto"/>
              <w:rPr>
                <w:b w:val="1"/>
                <w:bCs w:val="1"/>
                <w:sz w:val="21"/>
                <w:szCs w:val="21"/>
              </w:rPr>
            </w:pPr>
            <w:r w:rsidDel="00000000" w:rsidR="00000000" w:rsidRPr="00000000">
              <w:rPr>
                <w:b w:val="1"/>
                <w:bCs w:val="1"/>
                <w:sz w:val="21"/>
                <w:szCs w:val="21"/>
                <w:rtl w:val="0"/>
              </w:rPr>
              <w:t xml:space="preserve">Art der Aktivität</w:t>
            </w:r>
          </w:p>
        </w:tc>
        <w:tc>
          <w:tcPr/>
          <w:p w:rsidR="00000000" w:rsidDel="00000000" w:rsidP="00000000" w:rsidRDefault="00000000" w:rsidRPr="00000000" w14:paraId="0000000F">
            <w:pPr>
              <w:numPr>
                <w:ilvl w:val="0"/>
                <w:numId w:val="2"/>
              </w:numPr>
              <w:spacing w:after="0" w:line="276" w:lineRule="auto"/>
              <w:ind w:left="720" w:hanging="360"/>
              <w:rPr>
                <w:sz w:val="21"/>
                <w:szCs w:val="21"/>
              </w:rPr>
            </w:pPr>
            <w:r w:rsidDel="00000000" w:rsidR="00000000" w:rsidRPr="00000000">
              <w:rPr>
                <w:sz w:val="21"/>
                <w:szCs w:val="21"/>
                <w:rtl w:val="0"/>
              </w:rPr>
              <w:t xml:space="preserve">Vorlesung</w:t>
            </w:r>
          </w:p>
          <w:p w:rsidR="00000000" w:rsidDel="00000000" w:rsidP="00000000" w:rsidRDefault="00000000" w:rsidRPr="00000000" w14:paraId="00000010">
            <w:pPr>
              <w:numPr>
                <w:ilvl w:val="0"/>
                <w:numId w:val="2"/>
              </w:numPr>
              <w:spacing w:after="0" w:before="0" w:line="276" w:lineRule="auto"/>
              <w:ind w:left="720" w:hanging="360"/>
              <w:rPr/>
            </w:pPr>
            <w:r w:rsidDel="00000000" w:rsidR="00000000" w:rsidRPr="00000000">
              <w:rPr>
                <w:sz w:val="21"/>
                <w:szCs w:val="21"/>
                <w:rtl w:val="0"/>
              </w:rPr>
              <w:t xml:space="preserve">Diskussion</w:t>
            </w:r>
            <w:r w:rsidDel="00000000" w:rsidR="00000000" w:rsidRPr="00000000">
              <w:rPr>
                <w:rtl w:val="0"/>
              </w:rPr>
            </w:r>
          </w:p>
          <w:p w:rsidR="00000000" w:rsidDel="00000000" w:rsidP="00000000" w:rsidRDefault="00000000" w:rsidRPr="00000000" w14:paraId="00000011">
            <w:pPr>
              <w:numPr>
                <w:ilvl w:val="0"/>
                <w:numId w:val="2"/>
              </w:numPr>
              <w:spacing w:after="0" w:before="0" w:line="276" w:lineRule="auto"/>
              <w:ind w:left="720" w:hanging="360"/>
              <w:rPr/>
            </w:pPr>
            <w:r w:rsidDel="00000000" w:rsidR="00000000" w:rsidRPr="00000000">
              <w:rPr>
                <w:sz w:val="21"/>
                <w:szCs w:val="21"/>
                <w:rtl w:val="0"/>
              </w:rPr>
              <w:t xml:space="preserve">Gruppenarbeit</w:t>
            </w:r>
            <w:r w:rsidDel="00000000" w:rsidR="00000000" w:rsidRPr="00000000">
              <w:rPr>
                <w:rtl w:val="0"/>
              </w:rPr>
            </w:r>
          </w:p>
          <w:p w:rsidR="00000000" w:rsidDel="00000000" w:rsidP="00000000" w:rsidRDefault="00000000" w:rsidRPr="00000000" w14:paraId="00000012">
            <w:pPr>
              <w:numPr>
                <w:ilvl w:val="0"/>
                <w:numId w:val="2"/>
              </w:numPr>
              <w:spacing w:after="0" w:before="0" w:line="276" w:lineRule="auto"/>
              <w:ind w:left="720" w:hanging="360"/>
              <w:rPr/>
            </w:pPr>
            <w:r w:rsidDel="00000000" w:rsidR="00000000" w:rsidRPr="00000000">
              <w:rPr>
                <w:sz w:val="21"/>
                <w:szCs w:val="21"/>
                <w:rtl w:val="0"/>
              </w:rPr>
              <w:t xml:space="preserve">Einzelarbeit</w:t>
            </w:r>
            <w:r w:rsidDel="00000000" w:rsidR="00000000" w:rsidRPr="00000000">
              <w:rPr>
                <w:rtl w:val="0"/>
              </w:rPr>
            </w:r>
          </w:p>
          <w:p w:rsidR="00000000" w:rsidDel="00000000" w:rsidP="00000000" w:rsidRDefault="00000000" w:rsidRPr="00000000" w14:paraId="00000013">
            <w:pPr>
              <w:numPr>
                <w:ilvl w:val="0"/>
                <w:numId w:val="2"/>
              </w:numPr>
              <w:spacing w:after="240" w:before="0" w:line="276" w:lineRule="auto"/>
              <w:ind w:left="720" w:hanging="360"/>
              <w:rPr/>
            </w:pPr>
            <w:r w:rsidDel="00000000" w:rsidR="00000000" w:rsidRPr="00000000">
              <w:rPr>
                <w:sz w:val="21"/>
                <w:szCs w:val="21"/>
                <w:rtl w:val="0"/>
              </w:rPr>
              <w:t xml:space="preserve">Selbstgesteuertes Lernen</w:t>
            </w: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014">
            <w:pPr>
              <w:spacing w:after="60" w:before="60" w:line="276" w:lineRule="auto"/>
              <w:rPr>
                <w:b w:val="1"/>
                <w:bCs w:val="1"/>
                <w:sz w:val="21"/>
                <w:szCs w:val="21"/>
              </w:rPr>
            </w:pPr>
            <w:r w:rsidDel="00000000" w:rsidR="00000000" w:rsidRPr="00000000">
              <w:rPr>
                <w:b w:val="1"/>
                <w:bCs w:val="1"/>
                <w:sz w:val="21"/>
                <w:szCs w:val="21"/>
                <w:rtl w:val="0"/>
              </w:rPr>
              <w:t xml:space="preserve">Ressourcen</w:t>
            </w:r>
          </w:p>
        </w:tc>
        <w:tc>
          <w:tcPr/>
          <w:p w:rsidR="00000000" w:rsidDel="00000000" w:rsidP="00000000" w:rsidRDefault="00000000" w:rsidRPr="00000000" w14:paraId="00000015">
            <w:pPr>
              <w:numPr>
                <w:ilvl w:val="0"/>
                <w:numId w:val="1"/>
              </w:numPr>
              <w:spacing w:after="0" w:line="276" w:lineRule="auto"/>
              <w:ind w:left="720" w:hanging="360"/>
              <w:rPr>
                <w:sz w:val="21"/>
                <w:szCs w:val="21"/>
              </w:rPr>
            </w:pPr>
            <w:r w:rsidDel="00000000" w:rsidR="00000000" w:rsidRPr="00000000">
              <w:rPr>
                <w:sz w:val="21"/>
                <w:szCs w:val="21"/>
                <w:rtl w:val="0"/>
              </w:rPr>
              <w:t xml:space="preserve">PowerPoint Präsentation:  </w:t>
            </w:r>
          </w:p>
          <w:p w:rsidR="00000000" w:rsidDel="00000000" w:rsidP="00000000" w:rsidRDefault="00000000" w:rsidRPr="00000000" w14:paraId="00000016">
            <w:pPr>
              <w:numPr>
                <w:ilvl w:val="0"/>
                <w:numId w:val="1"/>
              </w:numPr>
              <w:spacing w:after="0" w:line="276" w:lineRule="auto"/>
              <w:ind w:left="720" w:hanging="360"/>
              <w:rPr>
                <w:sz w:val="21"/>
                <w:szCs w:val="21"/>
              </w:rPr>
            </w:pPr>
            <w:r w:rsidDel="00000000" w:rsidR="00000000" w:rsidRPr="00000000">
              <w:rPr>
                <w:sz w:val="21"/>
                <w:szCs w:val="21"/>
                <w:rtl w:val="0"/>
              </w:rPr>
              <w:t xml:space="preserve">PDF / handout: Monitoring canvas</w:t>
            </w:r>
          </w:p>
          <w:p w:rsidR="00000000" w:rsidDel="00000000" w:rsidP="00000000" w:rsidRDefault="00000000" w:rsidRPr="00000000" w14:paraId="00000017">
            <w:pPr>
              <w:numPr>
                <w:ilvl w:val="0"/>
                <w:numId w:val="1"/>
              </w:numPr>
              <w:spacing w:after="0" w:line="276" w:lineRule="auto"/>
              <w:ind w:left="720" w:hanging="360"/>
              <w:rPr>
                <w:sz w:val="21"/>
                <w:szCs w:val="21"/>
              </w:rPr>
            </w:pPr>
            <w:r w:rsidDel="00000000" w:rsidR="00000000" w:rsidRPr="00000000">
              <w:rPr>
                <w:sz w:val="21"/>
                <w:szCs w:val="21"/>
                <w:rtl w:val="0"/>
              </w:rPr>
              <w:t xml:space="preserve">Online ressource:</w:t>
            </w:r>
          </w:p>
          <w:p w:rsidR="00000000" w:rsidDel="00000000" w:rsidP="00000000" w:rsidRDefault="00000000" w:rsidRPr="00000000" w14:paraId="00000018">
            <w:pPr>
              <w:numPr>
                <w:ilvl w:val="0"/>
                <w:numId w:val="1"/>
              </w:numPr>
              <w:spacing w:after="0" w:line="276" w:lineRule="auto"/>
              <w:ind w:left="720" w:hanging="360"/>
              <w:rPr>
                <w:sz w:val="21"/>
                <w:szCs w:val="21"/>
              </w:rPr>
            </w:pPr>
            <w:r w:rsidDel="00000000" w:rsidR="00000000" w:rsidRPr="00000000">
              <w:rPr>
                <w:sz w:val="21"/>
                <w:szCs w:val="21"/>
                <w:rtl w:val="0"/>
              </w:rPr>
              <w:t xml:space="preserve">Flipchart:</w:t>
            </w:r>
          </w:p>
          <w:p w:rsidR="00000000" w:rsidDel="00000000" w:rsidP="00000000" w:rsidRDefault="00000000" w:rsidRPr="00000000" w14:paraId="00000019">
            <w:pPr>
              <w:numPr>
                <w:ilvl w:val="0"/>
                <w:numId w:val="1"/>
              </w:numPr>
              <w:spacing w:after="0" w:line="276" w:lineRule="auto"/>
              <w:ind w:left="720" w:hanging="360"/>
              <w:rPr>
                <w:sz w:val="21"/>
                <w:szCs w:val="21"/>
              </w:rPr>
            </w:pPr>
            <w:r w:rsidDel="00000000" w:rsidR="00000000" w:rsidRPr="00000000">
              <w:rPr>
                <w:sz w:val="21"/>
                <w:szCs w:val="21"/>
                <w:rtl w:val="0"/>
              </w:rPr>
              <w:t xml:space="preserve">Other:</w:t>
            </w:r>
          </w:p>
        </w:tc>
      </w:tr>
      <w:tr>
        <w:trPr>
          <w:cantSplit w:val="0"/>
          <w:tblHeader w:val="0"/>
        </w:trPr>
        <w:tc>
          <w:tcPr>
            <w:shd w:fill="f2f2f2" w:val="clear"/>
          </w:tcPr>
          <w:p w:rsidR="00000000" w:rsidDel="00000000" w:rsidP="00000000" w:rsidRDefault="00000000" w:rsidRPr="00000000" w14:paraId="0000001A">
            <w:pPr>
              <w:spacing w:after="60" w:before="60" w:line="276" w:lineRule="auto"/>
              <w:rPr>
                <w:b w:val="1"/>
                <w:bCs w:val="1"/>
                <w:sz w:val="21"/>
                <w:szCs w:val="21"/>
              </w:rPr>
            </w:pPr>
            <w:r w:rsidDel="00000000" w:rsidR="00000000" w:rsidRPr="00000000">
              <w:rPr>
                <w:b w:val="1"/>
                <w:bCs w:val="1"/>
                <w:sz w:val="21"/>
                <w:szCs w:val="21"/>
                <w:rtl w:val="0"/>
              </w:rPr>
              <w:t xml:space="preserve">Organisatorische Anforderungen</w:t>
            </w:r>
          </w:p>
        </w:tc>
        <w:tc>
          <w:tcPr/>
          <w:p w:rsidR="00000000" w:rsidDel="00000000" w:rsidP="00000000" w:rsidRDefault="00000000" w:rsidRPr="00000000" w14:paraId="0000001B">
            <w:pPr>
              <w:numPr>
                <w:ilvl w:val="0"/>
                <w:numId w:val="3"/>
              </w:numPr>
              <w:pBdr>
                <w:top w:space="0" w:sz="0" w:val="nil"/>
                <w:left w:space="0" w:sz="0" w:val="nil"/>
                <w:bottom w:space="0" w:sz="0" w:val="nil"/>
                <w:right w:space="0" w:sz="0" w:val="nil"/>
                <w:between w:space="0" w:sz="0" w:val="nil"/>
              </w:pBdr>
              <w:spacing w:after="0" w:line="276" w:lineRule="auto"/>
              <w:ind w:left="720" w:hanging="360"/>
              <w:rPr>
                <w:color w:val="000000"/>
                <w:sz w:val="21"/>
                <w:szCs w:val="21"/>
              </w:rPr>
            </w:pPr>
            <w:r w:rsidDel="00000000" w:rsidR="00000000" w:rsidRPr="00000000">
              <w:rPr>
                <w:sz w:val="21"/>
                <w:szCs w:val="21"/>
                <w:rtl w:val="0"/>
              </w:rPr>
              <w:t xml:space="preserve">Keine besonderen Anforderungen erforderlich</w:t>
            </w:r>
            <w:r w:rsidDel="00000000" w:rsidR="00000000" w:rsidRPr="00000000">
              <w:rPr>
                <w:rtl w:val="0"/>
              </w:rPr>
            </w:r>
          </w:p>
        </w:tc>
      </w:tr>
      <w:tr>
        <w:trPr>
          <w:cantSplit w:val="0"/>
          <w:trHeight w:val="1597" w:hRule="atLeast"/>
          <w:tblHeader w:val="0"/>
        </w:trPr>
        <w:tc>
          <w:tcPr>
            <w:shd w:fill="f2f2f2" w:val="clear"/>
          </w:tcPr>
          <w:p w:rsidR="00000000" w:rsidDel="00000000" w:rsidP="00000000" w:rsidRDefault="00000000" w:rsidRPr="00000000" w14:paraId="0000001C">
            <w:pPr>
              <w:spacing w:after="60" w:before="60" w:line="276" w:lineRule="auto"/>
              <w:rPr>
                <w:b w:val="1"/>
                <w:bCs w:val="1"/>
                <w:sz w:val="21"/>
                <w:szCs w:val="21"/>
              </w:rPr>
            </w:pPr>
            <w:r w:rsidDel="00000000" w:rsidR="00000000" w:rsidRPr="00000000">
              <w:rPr>
                <w:b w:val="1"/>
                <w:bCs w:val="1"/>
                <w:sz w:val="21"/>
                <w:szCs w:val="21"/>
                <w:rtl w:val="0"/>
              </w:rPr>
              <w:t xml:space="preserve">Beschreibung der</w:t>
            </w:r>
          </w:p>
          <w:p w:rsidR="00000000" w:rsidDel="00000000" w:rsidP="00000000" w:rsidRDefault="00000000" w:rsidRPr="00000000" w14:paraId="0000001D">
            <w:pPr>
              <w:spacing w:after="60" w:before="60" w:line="276" w:lineRule="auto"/>
              <w:rPr>
                <w:b w:val="1"/>
                <w:bCs w:val="1"/>
                <w:sz w:val="21"/>
                <w:szCs w:val="21"/>
              </w:rPr>
            </w:pPr>
            <w:r w:rsidDel="00000000" w:rsidR="00000000" w:rsidRPr="00000000">
              <w:rPr>
                <w:b w:val="1"/>
                <w:bCs w:val="1"/>
                <w:sz w:val="21"/>
                <w:szCs w:val="21"/>
                <w:rtl w:val="0"/>
              </w:rPr>
              <w:t xml:space="preserve">Aktivität</w:t>
            </w:r>
          </w:p>
          <w:p w:rsidR="00000000" w:rsidDel="00000000" w:rsidP="00000000" w:rsidRDefault="00000000" w:rsidRPr="00000000" w14:paraId="0000001E">
            <w:pPr>
              <w:spacing w:after="60" w:before="60" w:line="276" w:lineRule="auto"/>
              <w:rPr>
                <w:sz w:val="21"/>
                <w:szCs w:val="21"/>
              </w:rPr>
            </w:pPr>
            <w:r w:rsidDel="00000000" w:rsidR="00000000" w:rsidRPr="00000000">
              <w:rPr>
                <w:rtl w:val="0"/>
              </w:rPr>
            </w:r>
          </w:p>
        </w:tc>
        <w:tc>
          <w:tcPr/>
          <w:p w:rsidR="00000000" w:rsidDel="00000000" w:rsidP="00000000" w:rsidRDefault="00000000" w:rsidRPr="00000000" w14:paraId="0000001F">
            <w:pPr>
              <w:spacing w:after="240" w:before="240" w:line="276" w:lineRule="auto"/>
              <w:rPr>
                <w:sz w:val="21"/>
                <w:szCs w:val="21"/>
              </w:rPr>
            </w:pPr>
            <w:r w:rsidDel="00000000" w:rsidR="00000000" w:rsidRPr="00000000">
              <w:rPr>
                <w:sz w:val="21"/>
                <w:szCs w:val="21"/>
                <w:rtl w:val="0"/>
              </w:rPr>
              <w:t xml:space="preserve">In dieser Einheit werden den Teilnehmenden einige (etwa 3–4) einfache Methoden zur Erfolgs- und Leistungsüberwachung vorgestellt. Nach der Vorstellung der Methoden und möglicher Anwendungsbereiche – insbesondere für die Strategie- und Leistungsüberwachung im Hinblick auf die Vollzeitbeschäftigung von Frauen im Unternehmen, die Arbeitsbedingungen älterer Arbeitnehmender, Migration und Diversity sowie die Weiterqualifizierung gering qualifizierter Arbeitnehmender – beginnen die Teilnehmenden mit der Planung ihrer eigenen Überwachungsmaßnahmen für das eigene Unternehmen und lernen ein Monitoring-Canvas kennen, das einen einfachen Überblick über die Monitoring-Maßnahmen, den Zeitrahmen, aufgetretene Abweichungen sowie geplante und umgesetzte Anpassungsmaßnahmen ermöglicht. Für die Monitoring-Einheiten an Tag 2 und 3 wird der thematische Schwerpunkt auf Maßnahmen zur verstärkten und längeren Beschäftigung älterer und leitender Mitarbeitenden, auf Migrations- und Diversity-Management sowie auf die Weiterqualifizierung gering qualifizierter Mitarbeitenden im Unternehmen verlagert; die für das Monitoring vorgestellten und angewandten Methoden, einschließlich des Monitoring-Canvas, bleiben jedoch unverändert.</w:t>
            </w:r>
          </w:p>
        </w:tc>
      </w:tr>
      <w:tr>
        <w:trPr>
          <w:cantSplit w:val="0"/>
          <w:trHeight w:val="1954" w:hRule="atLeast"/>
          <w:tblHeader w:val="0"/>
        </w:trPr>
        <w:tc>
          <w:tcPr>
            <w:shd w:fill="f2f2f2" w:val="clear"/>
          </w:tcPr>
          <w:p w:rsidR="00000000" w:rsidDel="00000000" w:rsidP="00000000" w:rsidRDefault="00000000" w:rsidRPr="00000000" w14:paraId="00000020">
            <w:pPr>
              <w:spacing w:after="60" w:before="60" w:line="276" w:lineRule="auto"/>
              <w:rPr>
                <w:b w:val="1"/>
                <w:bCs w:val="1"/>
                <w:sz w:val="21"/>
                <w:szCs w:val="21"/>
              </w:rPr>
            </w:pPr>
            <w:r w:rsidDel="00000000" w:rsidR="00000000" w:rsidRPr="00000000">
              <w:rPr>
                <w:b w:val="1"/>
                <w:bCs w:val="1"/>
                <w:sz w:val="21"/>
                <w:szCs w:val="21"/>
                <w:rtl w:val="0"/>
              </w:rPr>
              <w:t xml:space="preserve">Anmerkungen für Trainer</w:t>
            </w:r>
          </w:p>
        </w:tc>
        <w:tc>
          <w:tcPr/>
          <w:p w:rsidR="00000000" w:rsidDel="00000000" w:rsidP="00000000" w:rsidRDefault="00000000" w:rsidRPr="00000000" w14:paraId="00000021">
            <w:pPr>
              <w:numPr>
                <w:ilvl w:val="0"/>
                <w:numId w:val="3"/>
              </w:numPr>
              <w:pBdr>
                <w:top w:space="0" w:sz="0" w:val="nil"/>
                <w:left w:space="0" w:sz="0" w:val="nil"/>
                <w:bottom w:space="0" w:sz="0" w:val="nil"/>
                <w:right w:space="0" w:sz="0" w:val="nil"/>
                <w:between w:space="0" w:sz="0" w:val="nil"/>
              </w:pBdr>
              <w:spacing w:after="0" w:line="276" w:lineRule="auto"/>
              <w:ind w:left="720" w:hanging="360"/>
              <w:rPr>
                <w:color w:val="000000"/>
                <w:sz w:val="21"/>
                <w:szCs w:val="21"/>
              </w:rPr>
            </w:pPr>
            <w:r w:rsidDel="00000000" w:rsidR="00000000" w:rsidRPr="00000000">
              <w:rPr>
                <w:sz w:val="21"/>
                <w:szCs w:val="21"/>
                <w:rtl w:val="0"/>
              </w:rPr>
              <w:t xml:space="preserve">Es ist wichtig, 2 bis 4 (maximal) Methoden zur Überwachung und Erkennung von Abweichungen auszuwählen.</w:t>
            </w:r>
            <w:r w:rsidDel="00000000" w:rsidR="00000000" w:rsidRPr="00000000">
              <w:rPr>
                <w:rtl w:val="0"/>
              </w:rPr>
            </w:r>
          </w:p>
          <w:p w:rsidR="00000000" w:rsidDel="00000000" w:rsidP="00000000" w:rsidRDefault="00000000" w:rsidRPr="00000000" w14:paraId="00000022">
            <w:pPr>
              <w:numPr>
                <w:ilvl w:val="0"/>
                <w:numId w:val="3"/>
              </w:numPr>
              <w:spacing w:after="0" w:before="0" w:line="276" w:lineRule="auto"/>
              <w:ind w:left="720" w:hanging="360"/>
              <w:rPr/>
            </w:pPr>
            <w:r w:rsidDel="00000000" w:rsidR="00000000" w:rsidRPr="00000000">
              <w:rPr>
                <w:sz w:val="21"/>
                <w:szCs w:val="21"/>
                <w:rtl w:val="0"/>
              </w:rPr>
              <w:t xml:space="preserve">Es ist wichtig, die Methoden der Zielgruppe schrittweise vorzustellen</w:t>
            </w:r>
            <w:r w:rsidDel="00000000" w:rsidR="00000000" w:rsidRPr="00000000">
              <w:rPr>
                <w:rtl w:val="0"/>
              </w:rPr>
            </w:r>
          </w:p>
          <w:p w:rsidR="00000000" w:rsidDel="00000000" w:rsidP="00000000" w:rsidRDefault="00000000" w:rsidRPr="00000000" w14:paraId="00000023">
            <w:pPr>
              <w:numPr>
                <w:ilvl w:val="0"/>
                <w:numId w:val="3"/>
              </w:numPr>
              <w:spacing w:after="0" w:before="0" w:line="276" w:lineRule="auto"/>
              <w:ind w:left="720" w:hanging="360"/>
              <w:rPr/>
            </w:pPr>
            <w:r w:rsidDel="00000000" w:rsidR="00000000" w:rsidRPr="00000000">
              <w:rPr>
                <w:sz w:val="21"/>
                <w:szCs w:val="21"/>
                <w:rtl w:val="0"/>
              </w:rPr>
              <w:t xml:space="preserve">Nach einer allgemeinen Einführung sollten die Teilnehmenden und Lernenden die Methoden dann an die Monitoring-Anforderungen ihres eigenen Unternehmens anpassen, und zwar in Bezug auf die vier Zielebenen des ELEVATE-Projekts</w:t>
            </w:r>
            <w:r w:rsidDel="00000000" w:rsidR="00000000" w:rsidRPr="00000000">
              <w:rPr>
                <w:rtl w:val="0"/>
              </w:rPr>
            </w:r>
          </w:p>
          <w:p w:rsidR="00000000" w:rsidDel="00000000" w:rsidP="00000000" w:rsidRDefault="00000000" w:rsidRPr="00000000" w14:paraId="00000024">
            <w:pPr>
              <w:numPr>
                <w:ilvl w:val="0"/>
                <w:numId w:val="3"/>
              </w:numPr>
              <w:spacing w:after="240" w:before="0" w:line="276" w:lineRule="auto"/>
              <w:ind w:left="720" w:hanging="360"/>
              <w:rPr/>
            </w:pPr>
            <w:r w:rsidDel="00000000" w:rsidR="00000000" w:rsidRPr="00000000">
              <w:rPr>
                <w:sz w:val="21"/>
                <w:szCs w:val="21"/>
                <w:rtl w:val="0"/>
              </w:rPr>
              <w:t xml:space="preserve">Die gesamte Monitoring-Strategie, der Zeitrahmen, die Methoden usw. sollten anschließend in einem Monitoring-Canvas zusammengefasst werden, das die Teilnehmenden zur weiteren Unterstützung mit nach Hause nehmen.</w:t>
            </w:r>
            <w:r w:rsidDel="00000000" w:rsidR="00000000" w:rsidRPr="00000000">
              <w:rPr>
                <w:rtl w:val="0"/>
              </w:rPr>
            </w:r>
          </w:p>
        </w:tc>
      </w:tr>
      <w:tr>
        <w:trPr>
          <w:cantSplit w:val="0"/>
          <w:trHeight w:val="416" w:hRule="atLeast"/>
          <w:tblHeader w:val="0"/>
        </w:trPr>
        <w:tc>
          <w:tcPr>
            <w:shd w:fill="f2f2f2" w:val="clear"/>
          </w:tcPr>
          <w:p w:rsidR="00000000" w:rsidDel="00000000" w:rsidP="00000000" w:rsidRDefault="00000000" w:rsidRPr="00000000" w14:paraId="00000025">
            <w:pPr>
              <w:spacing w:after="60" w:before="60" w:line="276" w:lineRule="auto"/>
              <w:rPr>
                <w:b w:val="1"/>
                <w:bCs w:val="1"/>
                <w:sz w:val="21"/>
                <w:szCs w:val="21"/>
              </w:rPr>
            </w:pPr>
            <w:r w:rsidDel="00000000" w:rsidR="00000000" w:rsidRPr="00000000">
              <w:rPr>
                <w:b w:val="1"/>
                <w:bCs w:val="1"/>
                <w:sz w:val="21"/>
                <w:szCs w:val="21"/>
                <w:rtl w:val="0"/>
              </w:rPr>
              <w:t xml:space="preserve">Sources/ </w:t>
              <w:br w:type="textWrapping"/>
              <w:t xml:space="preserve">Further Reading </w:t>
            </w:r>
          </w:p>
        </w:tc>
        <w:tc>
          <w:tcPr/>
          <w:p w:rsidR="00000000" w:rsidDel="00000000" w:rsidP="00000000" w:rsidRDefault="00000000" w:rsidRPr="00000000" w14:paraId="00000026">
            <w:pPr>
              <w:numPr>
                <w:ilvl w:val="0"/>
                <w:numId w:val="3"/>
              </w:numPr>
              <w:pBdr>
                <w:top w:space="0" w:sz="0" w:val="nil"/>
                <w:left w:space="0" w:sz="0" w:val="nil"/>
                <w:bottom w:space="0" w:sz="0" w:val="nil"/>
                <w:right w:space="0" w:sz="0" w:val="nil"/>
                <w:between w:space="0" w:sz="0" w:val="nil"/>
              </w:pBdr>
              <w:spacing w:after="0" w:line="276" w:lineRule="auto"/>
              <w:ind w:left="720" w:hanging="360"/>
              <w:rPr>
                <w:color w:val="000000"/>
                <w:sz w:val="21"/>
                <w:szCs w:val="21"/>
              </w:rPr>
            </w:pPr>
            <w:r w:rsidDel="00000000" w:rsidR="00000000" w:rsidRPr="00000000">
              <w:rPr>
                <w:rtl w:val="0"/>
              </w:rPr>
            </w:r>
          </w:p>
        </w:tc>
      </w:tr>
      <w:tr>
        <w:trPr>
          <w:cantSplit w:val="0"/>
          <w:trHeight w:val="416" w:hRule="atLeast"/>
          <w:tblHeader w:val="0"/>
        </w:trPr>
        <w:tc>
          <w:tcPr>
            <w:shd w:fill="f2f2f2" w:val="clear"/>
          </w:tcPr>
          <w:p w:rsidR="00000000" w:rsidDel="00000000" w:rsidP="00000000" w:rsidRDefault="00000000" w:rsidRPr="00000000" w14:paraId="00000027">
            <w:pPr>
              <w:spacing w:after="60" w:before="60" w:line="276" w:lineRule="auto"/>
              <w:rPr>
                <w:b w:val="1"/>
                <w:bCs w:val="1"/>
                <w:sz w:val="21"/>
                <w:szCs w:val="21"/>
              </w:rPr>
            </w:pPr>
            <w:r w:rsidDel="00000000" w:rsidR="00000000" w:rsidRPr="00000000">
              <w:rPr>
                <w:b w:val="1"/>
                <w:bCs w:val="1"/>
                <w:sz w:val="21"/>
                <w:szCs w:val="21"/>
                <w:rtl w:val="0"/>
              </w:rPr>
              <w:t xml:space="preserve">File name</w:t>
            </w:r>
          </w:p>
        </w:tc>
        <w:tc>
          <w:tcPr/>
          <w:p w:rsidR="00000000" w:rsidDel="00000000" w:rsidP="00000000" w:rsidRDefault="00000000" w:rsidRPr="00000000" w14:paraId="00000028">
            <w:pPr>
              <w:pBdr>
                <w:top w:space="0" w:sz="0" w:val="nil"/>
                <w:left w:space="0" w:sz="0" w:val="nil"/>
                <w:bottom w:space="0" w:sz="0" w:val="nil"/>
                <w:right w:space="0" w:sz="0" w:val="nil"/>
                <w:between w:space="0" w:sz="0" w:val="nil"/>
              </w:pBdr>
              <w:spacing w:line="276" w:lineRule="auto"/>
              <w:rPr>
                <w:color w:val="000000"/>
                <w:sz w:val="21"/>
                <w:szCs w:val="21"/>
              </w:rPr>
            </w:pPr>
            <w:r w:rsidDel="00000000" w:rsidR="00000000" w:rsidRPr="00000000">
              <w:rPr>
                <w:b w:val="1"/>
                <w:bCs w:val="1"/>
                <w:color w:val="ff0000"/>
                <w:sz w:val="21"/>
                <w:szCs w:val="21"/>
                <w:rtl w:val="0"/>
              </w:rPr>
              <w:t xml:space="preserve">Please upload all the materials to this unit according to this: DayX_UnitX_monitoring_file type (e.g. ppt, worksheet,) </w:t>
            </w:r>
            <w:r w:rsidDel="00000000" w:rsidR="00000000" w:rsidRPr="00000000">
              <w:rPr>
                <w:rtl w:val="0"/>
              </w:rPr>
            </w:r>
          </w:p>
        </w:tc>
      </w:tr>
    </w:tbl>
    <w:p w:rsidR="00000000" w:rsidDel="00000000" w:rsidP="00000000" w:rsidRDefault="00000000" w:rsidRPr="00000000" w14:paraId="00000029">
      <w:pPr>
        <w:rPr/>
      </w:pPr>
      <w:r w:rsidDel="00000000" w:rsidR="00000000" w:rsidRPr="00000000">
        <w:rPr>
          <w:rtl w:val="0"/>
        </w:rPr>
      </w:r>
    </w:p>
    <w:sectPr>
      <w:footerReference r:id="rId7" w:type="default"/>
      <w:pgSz w:h="16838" w:w="11906" w:orient="portrait"/>
      <w:pgMar w:bottom="1134"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-772631</wp:posOffset>
          </wp:positionH>
          <wp:positionV relativeFrom="paragraph">
            <wp:posOffset>4432</wp:posOffset>
          </wp:positionV>
          <wp:extent cx="7305358" cy="581922"/>
          <wp:effectExtent b="0" l="0" r="0" t="0"/>
          <wp:wrapNone/>
          <wp:docPr id="196969361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305358" cy="581922"/>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after="120"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berschrift7">
    <w:name w:val="heading 7"/>
    <w:basedOn w:val="Standard"/>
    <w:next w:val="Standard"/>
    <w:link w:val="berschrift7Zchn"/>
    <w:uiPriority w:val="9"/>
    <w:semiHidden w:val="1"/>
    <w:unhideWhenUsed w:val="1"/>
    <w:qFormat w:val="1"/>
    <w:rsid w:val="008D4A44"/>
    <w:pPr>
      <w:keepNext w:val="1"/>
      <w:keepLines w:val="1"/>
      <w:spacing w:after="0" w:before="40"/>
      <w:outlineLvl w:val="6"/>
    </w:pPr>
    <w:rPr>
      <w:rFonts w:cstheme="majorBidi" w:eastAsiaTheme="majorEastAsia"/>
      <w:color w:val="595959" w:themeColor="text1" w:themeTint="0000A6"/>
    </w:rPr>
  </w:style>
  <w:style w:type="paragraph" w:styleId="berschrift8">
    <w:name w:val="heading 8"/>
    <w:basedOn w:val="Standard"/>
    <w:next w:val="Standard"/>
    <w:link w:val="berschrift8Zchn"/>
    <w:uiPriority w:val="9"/>
    <w:semiHidden w:val="1"/>
    <w:unhideWhenUsed w:val="1"/>
    <w:qFormat w:val="1"/>
    <w:rsid w:val="008D4A44"/>
    <w:pPr>
      <w:keepNext w:val="1"/>
      <w:keepLines w:val="1"/>
      <w:spacing w:after="0"/>
      <w:outlineLvl w:val="7"/>
    </w:pPr>
    <w:rPr>
      <w:rFonts w:cstheme="majorBidi" w:eastAsiaTheme="majorEastAsia"/>
      <w:i w:val="1"/>
      <w:iCs w:val="1"/>
      <w:color w:val="272727" w:themeColor="text1" w:themeTint="0000D8"/>
    </w:rPr>
  </w:style>
  <w:style w:type="paragraph" w:styleId="berschrift9">
    <w:name w:val="heading 9"/>
    <w:basedOn w:val="Standard"/>
    <w:next w:val="Standard"/>
    <w:link w:val="berschrift9Zchn"/>
    <w:uiPriority w:val="9"/>
    <w:semiHidden w:val="1"/>
    <w:unhideWhenUsed w:val="1"/>
    <w:qFormat w:val="1"/>
    <w:rsid w:val="008D4A44"/>
    <w:pPr>
      <w:keepNext w:val="1"/>
      <w:keepLines w:val="1"/>
      <w:spacing w:after="0"/>
      <w:outlineLvl w:val="8"/>
    </w:pPr>
    <w:rPr>
      <w:rFonts w:cstheme="majorBidi" w:eastAsiaTheme="majorEastAsia"/>
      <w:color w:val="272727" w:themeColor="text1" w:themeTint="0000D8"/>
    </w:rPr>
  </w:style>
  <w:style w:type="character" w:styleId="Absatz-Standardschriftart" w:default="1">
    <w:name w:val="Default Paragraph Font"/>
    <w:uiPriority w:val="1"/>
    <w:semiHidden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character" w:styleId="berschrift1Zchn" w:customStyle="1">
    <w:name w:val="Überschrift 1 Zchn"/>
    <w:basedOn w:val="Absatz-Standardschriftart"/>
    <w:link w:val="berschrift1"/>
    <w:uiPriority w:val="9"/>
    <w:rsid w:val="008D4A44"/>
    <w:rPr>
      <w:rFonts w:asciiTheme="majorHAnsi" w:cstheme="majorBidi" w:eastAsiaTheme="majorEastAsia" w:hAnsiTheme="majorHAnsi"/>
      <w:color w:val="2f5496" w:themeColor="accent1" w:themeShade="0000BF"/>
      <w:sz w:val="40"/>
      <w:szCs w:val="40"/>
    </w:rPr>
  </w:style>
  <w:style w:type="character" w:styleId="berschrift2Zchn" w:customStyle="1">
    <w:name w:val="Überschrift 2 Zchn"/>
    <w:basedOn w:val="Absatz-Standardschriftart"/>
    <w:link w:val="berschrift2"/>
    <w:uiPriority w:val="9"/>
    <w:semiHidden w:val="1"/>
    <w:rsid w:val="008D4A44"/>
    <w:rPr>
      <w:rFonts w:asciiTheme="majorHAnsi" w:cstheme="majorBidi" w:eastAsiaTheme="majorEastAsia" w:hAnsiTheme="majorHAnsi"/>
      <w:color w:val="2f5496" w:themeColor="accent1" w:themeShade="0000BF"/>
      <w:sz w:val="32"/>
      <w:szCs w:val="32"/>
    </w:rPr>
  </w:style>
  <w:style w:type="character" w:styleId="berschrift3Zchn" w:customStyle="1">
    <w:name w:val="Überschrift 3 Zchn"/>
    <w:basedOn w:val="Absatz-Standardschriftart"/>
    <w:link w:val="berschrift3"/>
    <w:uiPriority w:val="9"/>
    <w:semiHidden w:val="1"/>
    <w:rsid w:val="008D4A44"/>
    <w:rPr>
      <w:rFonts w:cstheme="majorBidi" w:eastAsiaTheme="majorEastAsia"/>
      <w:color w:val="2f5496" w:themeColor="accent1" w:themeShade="0000BF"/>
      <w:sz w:val="28"/>
      <w:szCs w:val="28"/>
    </w:rPr>
  </w:style>
  <w:style w:type="character" w:styleId="berschrift4Zchn" w:customStyle="1">
    <w:name w:val="Überschrift 4 Zchn"/>
    <w:basedOn w:val="Absatz-Standardschriftart"/>
    <w:link w:val="berschrift4"/>
    <w:uiPriority w:val="9"/>
    <w:semiHidden w:val="1"/>
    <w:rsid w:val="008D4A44"/>
    <w:rPr>
      <w:rFonts w:cstheme="majorBidi" w:eastAsiaTheme="majorEastAsia"/>
      <w:i w:val="1"/>
      <w:iCs w:val="1"/>
      <w:color w:val="2f5496" w:themeColor="accent1" w:themeShade="0000BF"/>
    </w:rPr>
  </w:style>
  <w:style w:type="character" w:styleId="berschrift5Zchn" w:customStyle="1">
    <w:name w:val="Überschrift 5 Zchn"/>
    <w:basedOn w:val="Absatz-Standardschriftart"/>
    <w:link w:val="berschrift5"/>
    <w:uiPriority w:val="9"/>
    <w:semiHidden w:val="1"/>
    <w:rsid w:val="008D4A44"/>
    <w:rPr>
      <w:rFonts w:cstheme="majorBidi" w:eastAsiaTheme="majorEastAsia"/>
      <w:color w:val="2f5496" w:themeColor="accent1" w:themeShade="0000BF"/>
    </w:rPr>
  </w:style>
  <w:style w:type="character" w:styleId="berschrift6Zchn" w:customStyle="1">
    <w:name w:val="Überschrift 6 Zchn"/>
    <w:basedOn w:val="Absatz-Standardschriftart"/>
    <w:link w:val="berschrift6"/>
    <w:uiPriority w:val="9"/>
    <w:semiHidden w:val="1"/>
    <w:rsid w:val="008D4A44"/>
    <w:rPr>
      <w:rFonts w:cstheme="majorBidi" w:eastAsiaTheme="majorEastAsia"/>
      <w:i w:val="1"/>
      <w:iCs w:val="1"/>
      <w:color w:val="595959" w:themeColor="text1" w:themeTint="0000A6"/>
    </w:rPr>
  </w:style>
  <w:style w:type="character" w:styleId="berschrift7Zchn" w:customStyle="1">
    <w:name w:val="Überschrift 7 Zchn"/>
    <w:basedOn w:val="Absatz-Standardschriftart"/>
    <w:link w:val="berschrift7"/>
    <w:uiPriority w:val="9"/>
    <w:semiHidden w:val="1"/>
    <w:rsid w:val="008D4A44"/>
    <w:rPr>
      <w:rFonts w:cstheme="majorBidi" w:eastAsiaTheme="majorEastAsia"/>
      <w:color w:val="595959" w:themeColor="text1" w:themeTint="0000A6"/>
    </w:rPr>
  </w:style>
  <w:style w:type="character" w:styleId="berschrift8Zchn" w:customStyle="1">
    <w:name w:val="Überschrift 8 Zchn"/>
    <w:basedOn w:val="Absatz-Standardschriftart"/>
    <w:link w:val="berschrift8"/>
    <w:uiPriority w:val="9"/>
    <w:semiHidden w:val="1"/>
    <w:rsid w:val="008D4A44"/>
    <w:rPr>
      <w:rFonts w:cstheme="majorBidi" w:eastAsiaTheme="majorEastAsia"/>
      <w:i w:val="1"/>
      <w:iCs w:val="1"/>
      <w:color w:val="272727" w:themeColor="text1" w:themeTint="0000D8"/>
    </w:rPr>
  </w:style>
  <w:style w:type="character" w:styleId="berschrift9Zchn" w:customStyle="1">
    <w:name w:val="Überschrift 9 Zchn"/>
    <w:basedOn w:val="Absatz-Standardschriftart"/>
    <w:link w:val="berschrift9"/>
    <w:uiPriority w:val="9"/>
    <w:semiHidden w:val="1"/>
    <w:rsid w:val="008D4A44"/>
    <w:rPr>
      <w:rFonts w:cstheme="majorBidi" w:eastAsiaTheme="majorEastAsia"/>
      <w:color w:val="272727" w:themeColor="text1" w:themeTint="0000D8"/>
    </w:rPr>
  </w:style>
  <w:style w:type="character" w:styleId="TitelZchn" w:customStyle="1">
    <w:name w:val="Titel Zchn"/>
    <w:basedOn w:val="Absatz-Standardschriftart"/>
    <w:link w:val="Titel"/>
    <w:uiPriority w:val="10"/>
    <w:rsid w:val="008D4A44"/>
    <w:rPr>
      <w:rFonts w:asciiTheme="majorHAnsi" w:cstheme="majorBidi" w:eastAsiaTheme="majorEastAsia" w:hAnsiTheme="majorHAnsi"/>
      <w:spacing w:val="-10"/>
      <w:kern w:val="28"/>
      <w:sz w:val="56"/>
      <w:szCs w:val="56"/>
    </w:rPr>
  </w:style>
  <w:style w:type="character" w:styleId="UntertitelZchn" w:customStyle="1">
    <w:name w:val="Untertitel Zchn"/>
    <w:basedOn w:val="Absatz-Standardschriftart"/>
    <w:link w:val="Untertitel"/>
    <w:uiPriority w:val="11"/>
    <w:rsid w:val="008D4A44"/>
    <w:rPr>
      <w:rFonts w:cstheme="majorBidi" w:eastAsiaTheme="majorEastAsia"/>
      <w:color w:val="595959" w:themeColor="text1" w:themeTint="0000A6"/>
      <w:spacing w:val="15"/>
      <w:sz w:val="28"/>
      <w:szCs w:val="28"/>
    </w:rPr>
  </w:style>
  <w:style w:type="paragraph" w:styleId="Zitat">
    <w:name w:val="Quote"/>
    <w:basedOn w:val="Standard"/>
    <w:next w:val="Standard"/>
    <w:link w:val="ZitatZchn"/>
    <w:uiPriority w:val="29"/>
    <w:qFormat w:val="1"/>
    <w:rsid w:val="008D4A44"/>
    <w:pPr>
      <w:spacing w:before="160"/>
      <w:jc w:val="center"/>
    </w:pPr>
    <w:rPr>
      <w:i w:val="1"/>
      <w:iCs w:val="1"/>
      <w:color w:val="404040" w:themeColor="text1" w:themeTint="0000BF"/>
    </w:rPr>
  </w:style>
  <w:style w:type="character" w:styleId="ZitatZchn" w:customStyle="1">
    <w:name w:val="Zitat Zchn"/>
    <w:basedOn w:val="Absatz-Standardschriftart"/>
    <w:link w:val="Zitat"/>
    <w:uiPriority w:val="29"/>
    <w:rsid w:val="008D4A44"/>
    <w:rPr>
      <w:i w:val="1"/>
      <w:iCs w:val="1"/>
      <w:color w:val="404040" w:themeColor="text1" w:themeTint="0000BF"/>
    </w:rPr>
  </w:style>
  <w:style w:type="paragraph" w:styleId="Listenabsatz">
    <w:name w:val="List Paragraph"/>
    <w:basedOn w:val="Standard"/>
    <w:uiPriority w:val="34"/>
    <w:qFormat w:val="1"/>
    <w:rsid w:val="008D4A44"/>
    <w:pPr>
      <w:ind w:left="720"/>
      <w:contextualSpacing w:val="1"/>
    </w:pPr>
  </w:style>
  <w:style w:type="character" w:styleId="IntensiveHervorhebung">
    <w:name w:val="Intense Emphasis"/>
    <w:basedOn w:val="Absatz-Standardschriftart"/>
    <w:uiPriority w:val="21"/>
    <w:qFormat w:val="1"/>
    <w:rsid w:val="008D4A44"/>
    <w:rPr>
      <w:i w:val="1"/>
      <w:iCs w:val="1"/>
      <w:color w:val="2f5496" w:themeColor="accent1" w:themeShade="0000BF"/>
    </w:rPr>
  </w:style>
  <w:style w:type="paragraph" w:styleId="IntensivesZitat">
    <w:name w:val="Intense Quote"/>
    <w:basedOn w:val="Standard"/>
    <w:next w:val="Standard"/>
    <w:link w:val="IntensivesZitatZchn"/>
    <w:uiPriority w:val="30"/>
    <w:qFormat w:val="1"/>
    <w:rsid w:val="008D4A44"/>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ivesZitatZchn" w:customStyle="1">
    <w:name w:val="Intensives Zitat Zchn"/>
    <w:basedOn w:val="Absatz-Standardschriftart"/>
    <w:link w:val="IntensivesZitat"/>
    <w:uiPriority w:val="30"/>
    <w:rsid w:val="008D4A44"/>
    <w:rPr>
      <w:i w:val="1"/>
      <w:iCs w:val="1"/>
      <w:color w:val="2f5496" w:themeColor="accent1" w:themeShade="0000BF"/>
    </w:rPr>
  </w:style>
  <w:style w:type="character" w:styleId="IntensiverVerweis">
    <w:name w:val="Intense Reference"/>
    <w:basedOn w:val="Absatz-Standardschriftart"/>
    <w:uiPriority w:val="32"/>
    <w:qFormat w:val="1"/>
    <w:rsid w:val="008D4A44"/>
    <w:rPr>
      <w:b w:val="1"/>
      <w:bCs w:val="1"/>
      <w:smallCaps w:val="1"/>
      <w:color w:val="2f5496" w:themeColor="accent1" w:themeShade="0000BF"/>
      <w:spacing w:val="5"/>
    </w:rPr>
  </w:style>
  <w:style w:type="paragraph" w:styleId="Kopfzeile">
    <w:name w:val="header"/>
    <w:basedOn w:val="Standard"/>
    <w:link w:val="KopfzeileZchn"/>
    <w:uiPriority w:val="99"/>
    <w:unhideWhenUsed w:val="1"/>
    <w:rsid w:val="00B82A3E"/>
    <w:pPr>
      <w:tabs>
        <w:tab w:val="center" w:pos="4536"/>
        <w:tab w:val="right" w:pos="9072"/>
      </w:tabs>
      <w:spacing w:after="0" w:line="240" w:lineRule="auto"/>
    </w:pPr>
  </w:style>
  <w:style w:type="character" w:styleId="KopfzeileZchn" w:customStyle="1">
    <w:name w:val="Kopfzeile Zchn"/>
    <w:basedOn w:val="Absatz-Standardschriftart"/>
    <w:link w:val="Kopfzeile"/>
    <w:uiPriority w:val="99"/>
    <w:rsid w:val="00B82A3E"/>
    <w:rPr>
      <w:rFonts w:ascii="Arial" w:cs="Arial" w:eastAsia="Arial" w:hAnsi="Arial"/>
      <w:kern w:val="0"/>
      <w:sz w:val="22"/>
      <w:szCs w:val="22"/>
      <w:lang w:eastAsia="de-AT" w:val="en-GB"/>
    </w:rPr>
  </w:style>
  <w:style w:type="paragraph" w:styleId="Fuzeile">
    <w:name w:val="footer"/>
    <w:basedOn w:val="Standard"/>
    <w:link w:val="FuzeileZchn"/>
    <w:uiPriority w:val="99"/>
    <w:unhideWhenUsed w:val="1"/>
    <w:rsid w:val="00B82A3E"/>
    <w:pPr>
      <w:tabs>
        <w:tab w:val="center" w:pos="4536"/>
        <w:tab w:val="right" w:pos="9072"/>
      </w:tabs>
      <w:spacing w:after="0" w:line="240" w:lineRule="auto"/>
    </w:pPr>
  </w:style>
  <w:style w:type="character" w:styleId="FuzeileZchn" w:customStyle="1">
    <w:name w:val="Fußzeile Zchn"/>
    <w:basedOn w:val="Absatz-Standardschriftart"/>
    <w:link w:val="Fuzeile"/>
    <w:uiPriority w:val="99"/>
    <w:rsid w:val="00B82A3E"/>
    <w:rPr>
      <w:rFonts w:ascii="Arial" w:cs="Arial" w:eastAsia="Arial" w:hAnsi="Arial"/>
      <w:kern w:val="0"/>
      <w:sz w:val="22"/>
      <w:szCs w:val="22"/>
      <w:lang w:eastAsia="de-AT" w:val="en-GB"/>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jw5viuJEyghQZ+4WSAfYdgEt8A==">CgMxLjA4AHIhMVVLMTJNTVVfMGhYQWNZdkdvNm5oRS1DRTBObHJoRWJM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2026-01-21T12:24:00Z</dcterms:created>
  <dc:creator>Georg Müllner</dc:creator>
</cp:coreProperties>
</file>