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line="300" w:lineRule="auto"/>
        <w:rPr>
          <w:rFonts w:ascii="Arial" w:cs="Arial" w:eastAsia="Arial" w:hAnsi="Arial"/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3"/>
        <w:gridCol w:w="6752"/>
        <w:tblGridChange w:id="0">
          <w:tblGrid>
            <w:gridCol w:w="2263"/>
            <w:gridCol w:w="6752"/>
          </w:tblGrid>
        </w:tblGridChange>
      </w:tblGrid>
      <w:tr>
        <w:trPr>
          <w:cantSplit w:val="0"/>
          <w:trHeight w:val="406" w:hRule="atLeast"/>
          <w:tblHeader w:val="0"/>
        </w:trPr>
        <w:tc>
          <w:tcPr>
            <w:shd w:fill="ff6d25" w:val="clear"/>
          </w:tcPr>
          <w:p w:rsidR="00000000" w:rsidDel="00000000" w:rsidP="00000000" w:rsidRDefault="00000000" w:rsidRPr="00000000" w14:paraId="00000002">
            <w:pPr>
              <w:pStyle w:val="Heading1"/>
              <w:spacing w:after="60" w:before="60" w:line="276" w:lineRule="auto"/>
              <w:rPr>
                <w:rFonts w:ascii="Arial" w:cs="Arial" w:eastAsia="Arial" w:hAnsi="Arial"/>
                <w:b w:val="0"/>
                <w:bCs w:val="0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Título de la unidad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after="60" w:before="60" w:line="276" w:lineRule="auto"/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pStyle w:val="Heading1"/>
              <w:keepLines w:val="0"/>
              <w:spacing w:after="0" w:line="276" w:lineRule="auto"/>
              <w:jc w:val="center"/>
              <w:rPr>
                <w:rFonts w:ascii="Arial" w:cs="Arial" w:eastAsia="Arial" w:hAnsi="Arial"/>
                <w:color w:val="ff9525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9525"/>
                <w:sz w:val="24"/>
                <w:szCs w:val="24"/>
                <w:rtl w:val="0"/>
              </w:rPr>
              <w:t xml:space="preserve">Taller de estrategia parte 1: Identificación de barreras y oportunidades (Día 3)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5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Duración de la actividad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60 minutos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7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Resultados del aprendizaje</w:t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Después de completar esta actividad, el alumno podrá…</w:t>
            </w:r>
          </w:p>
          <w:p w:rsidR="00000000" w:rsidDel="00000000" w:rsidP="00000000" w:rsidRDefault="00000000" w:rsidRPr="00000000" w14:paraId="00000009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Analizar las barreras y oportunidades internas para el grupo objetivo respectivo identificado en el Escáner </w:t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2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Traducir los resultados del diagnóstico en acciones estratégicas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2"/>
              </w:numPr>
              <w:spacing w:after="160"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Priorizar las áreas clave de mejora en el contexto de su organización</w:t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C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Requerimientos organizacionales </w:t>
            </w:r>
          </w:p>
        </w:tc>
        <w:tc>
          <w:tcPr/>
          <w:p w:rsidR="00000000" w:rsidDel="00000000" w:rsidP="00000000" w:rsidRDefault="00000000" w:rsidRPr="00000000" w14:paraId="0000000D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Proyector para presentaciones.</w:t>
            </w:r>
          </w:p>
          <w:p w:rsidR="00000000" w:rsidDel="00000000" w:rsidP="00000000" w:rsidRDefault="00000000" w:rsidRPr="00000000" w14:paraId="0000000E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Acceso a los resultados individuales del Escáner de cada participante (impresos o digitales).</w:t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Espacio tranquilo para la reflexión y la planificación.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Lienzo de Modelo de Negocio impreso (1 persona).</w:t>
            </w:r>
          </w:p>
          <w:p w:rsidR="00000000" w:rsidDel="00000000" w:rsidP="00000000" w:rsidRDefault="00000000" w:rsidRPr="00000000" w14:paraId="00000011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Opcional: mesas para el intercambio en grupos pequeños durante la sesión de seguimiento.</w:t>
            </w:r>
          </w:p>
          <w:p w:rsidR="00000000" w:rsidDel="00000000" w:rsidP="00000000" w:rsidRDefault="00000000" w:rsidRPr="00000000" w14:paraId="00000012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Post-its.</w:t>
            </w:r>
          </w:p>
          <w:p w:rsidR="00000000" w:rsidDel="00000000" w:rsidP="00000000" w:rsidRDefault="00000000" w:rsidRPr="00000000" w14:paraId="00000013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Bolígrafos, rotuladores para pizarra blanca.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3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Rotafolio o pizarra para pegar los post-its.</w:t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left="360" w:firstLine="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97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6">
            <w:pPr>
              <w:spacing w:after="60" w:before="60"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Descripción de la actividad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Presentación del método y el objetivo del taller de estrategia (BMC)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Trabajo en grupo y lluvia de ideas sobre áreas con barreras y recursos (1-3 notas adhesivas individuales para pegar en un rotafolio o pizarra)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4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Lienzo de Modelo de Negocio individual: Los participantes trabajan individualmente con los resultados de su Escáner para definir medidas concretas.</w:t>
            </w:r>
          </w:p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El modelo de Lienzo adaptado para nuestro taller incluye los siguientes bloques:</w:t>
            </w:r>
          </w:p>
          <w:p w:rsidR="00000000" w:rsidDel="00000000" w:rsidP="00000000" w:rsidRDefault="00000000" w:rsidRPr="00000000" w14:paraId="0000001B">
            <w:pPr>
              <w:numPr>
                <w:ilvl w:val="1"/>
                <w:numId w:val="4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Grupo objetivo (refiriéndose a nuestros 4 grupos objetivo)</w:t>
            </w:r>
          </w:p>
          <w:p w:rsidR="00000000" w:rsidDel="00000000" w:rsidP="00000000" w:rsidRDefault="00000000" w:rsidRPr="00000000" w14:paraId="0000001C">
            <w:pPr>
              <w:numPr>
                <w:ilvl w:val="1"/>
                <w:numId w:val="4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Ofertas de valor</w:t>
            </w:r>
          </w:p>
          <w:p w:rsidR="00000000" w:rsidDel="00000000" w:rsidP="00000000" w:rsidRDefault="00000000" w:rsidRPr="00000000" w14:paraId="0000001D">
            <w:pPr>
              <w:numPr>
                <w:ilvl w:val="1"/>
                <w:numId w:val="4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Canales</w:t>
            </w:r>
          </w:p>
          <w:p w:rsidR="00000000" w:rsidDel="00000000" w:rsidP="00000000" w:rsidRDefault="00000000" w:rsidRPr="00000000" w14:paraId="0000001E">
            <w:pPr>
              <w:numPr>
                <w:ilvl w:val="1"/>
                <w:numId w:val="4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Relaciones</w:t>
            </w:r>
          </w:p>
          <w:p w:rsidR="00000000" w:rsidDel="00000000" w:rsidP="00000000" w:rsidRDefault="00000000" w:rsidRPr="00000000" w14:paraId="0000001F">
            <w:pPr>
              <w:numPr>
                <w:ilvl w:val="1"/>
                <w:numId w:val="4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Valor para la empresa</w:t>
            </w:r>
          </w:p>
          <w:p w:rsidR="00000000" w:rsidDel="00000000" w:rsidP="00000000" w:rsidRDefault="00000000" w:rsidRPr="00000000" w14:paraId="00000020">
            <w:pPr>
              <w:numPr>
                <w:ilvl w:val="1"/>
                <w:numId w:val="4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Recursos clave</w:t>
            </w:r>
          </w:p>
          <w:p w:rsidR="00000000" w:rsidDel="00000000" w:rsidP="00000000" w:rsidRDefault="00000000" w:rsidRPr="00000000" w14:paraId="00000021">
            <w:pPr>
              <w:numPr>
                <w:ilvl w:val="1"/>
                <w:numId w:val="4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Actividades clave</w:t>
            </w:r>
          </w:p>
          <w:p w:rsidR="00000000" w:rsidDel="00000000" w:rsidP="00000000" w:rsidRDefault="00000000" w:rsidRPr="00000000" w14:paraId="00000022">
            <w:pPr>
              <w:numPr>
                <w:ilvl w:val="1"/>
                <w:numId w:val="4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Socios clave</w:t>
            </w:r>
          </w:p>
          <w:p w:rsidR="00000000" w:rsidDel="00000000" w:rsidP="00000000" w:rsidRDefault="00000000" w:rsidRPr="00000000" w14:paraId="00000023">
            <w:pPr>
              <w:numPr>
                <w:ilvl w:val="1"/>
                <w:numId w:val="4"/>
              </w:numPr>
              <w:spacing w:line="276" w:lineRule="auto"/>
              <w:ind w:left="144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Estructura de costos</w:t>
            </w:r>
          </w:p>
          <w:p w:rsidR="00000000" w:rsidDel="00000000" w:rsidP="00000000" w:rsidRDefault="00000000" w:rsidRPr="00000000" w14:paraId="00000024">
            <w:pPr>
              <w:spacing w:line="276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El objetivo es identificar áreas de acción estratégica que puedan refinarse aún más y, con suerte, desarrollarse con más detalle dentro de las empresas en una etapa posterior.</w:t>
            </w:r>
          </w:p>
        </w:tc>
      </w:tr>
      <w:tr>
        <w:trPr>
          <w:cantSplit w:val="0"/>
          <w:trHeight w:val="1954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25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Notas del formador</w:t>
            </w:r>
          </w:p>
        </w:tc>
        <w:tc>
          <w:tcPr/>
          <w:p w:rsidR="00000000" w:rsidDel="00000000" w:rsidP="00000000" w:rsidRDefault="00000000" w:rsidRPr="00000000" w14:paraId="00000026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En caso de tener dudas sobre el presupuesto o la implementación, por favor, enfatice que este taller se centra principalmente en recopilar ideas y familiarizarse con los problemas de los grupos objetivo.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Asegúrese de que todos los participantes tengan a mano su Canvas (digital o impreso por nosotros) y los resultados del Scanner.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Recorra la sala para apoyar con preguntas o aclaraciones específicas.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Utilice las ideas de impulso preparadas previamente si a los participantes les cuesta generar ideas o utilice preguntas guía (queremos ayudarlos si se sienten abrumados).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Controle el tiempo y recuerde a los participantes cuánto tiempo queda.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1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Recuerde a los participantes que no tiene que ser perfecto, el objetivo está en involucrarse con el tema.</w:t>
            </w:r>
          </w:p>
        </w:tc>
      </w:tr>
      <w:tr>
        <w:trPr>
          <w:cantSplit w:val="0"/>
          <w:trHeight w:val="41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2C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Fuentes/Lecturas adicionales</w:t>
            </w:r>
          </w:p>
        </w:tc>
        <w:tc>
          <w:tcPr/>
          <w:p w:rsidR="00000000" w:rsidDel="00000000" w:rsidP="00000000" w:rsidRDefault="00000000" w:rsidRPr="00000000" w14:paraId="0000002D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Internal guide: "From Scanner to Strategy – Applying Results"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Harvard Business Review: “Turning Diagnosis into Action”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Osterwalder, Alexander; Pigneur, Yves (2010).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1"/>
                <w:szCs w:val="21"/>
                <w:rtl w:val="0"/>
              </w:rPr>
              <w:t xml:space="preserve">Business Model Generation: A Handbook for Visionaries, Game Changers, and Challengers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. Wiley.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5"/>
              </w:numPr>
              <w:spacing w:line="276" w:lineRule="auto"/>
              <w:ind w:left="720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Strategyzer (n.d.)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21"/>
                <w:szCs w:val="21"/>
                <w:rtl w:val="0"/>
              </w:rPr>
              <w:t xml:space="preserve">The Business Model Canvas</w:t>
            </w: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. Available at:</w:t>
            </w:r>
            <w:hyperlink r:id="rId7">
              <w:r w:rsidDel="00000000" w:rsidR="00000000" w:rsidRPr="00000000">
                <w:rPr>
                  <w:rFonts w:ascii="Arial" w:cs="Arial" w:eastAsia="Arial" w:hAnsi="Arial"/>
                  <w:sz w:val="21"/>
                  <w:szCs w:val="21"/>
                  <w:rtl w:val="0"/>
                </w:rPr>
                <w:t xml:space="preserve"> </w:t>
              </w:r>
            </w:hyperlink>
            <w:hyperlink r:id="rId8">
              <w:r w:rsidDel="00000000" w:rsidR="00000000" w:rsidRPr="00000000">
                <w:rPr>
                  <w:rFonts w:ascii="Arial" w:cs="Arial" w:eastAsia="Arial" w:hAnsi="Arial"/>
                  <w:color w:val="1155cc"/>
                  <w:sz w:val="21"/>
                  <w:szCs w:val="21"/>
                  <w:u w:val="single"/>
                  <w:rtl w:val="0"/>
                </w:rPr>
                <w:t xml:space="preserve">https://www.strategyzer.com/library/the-business-model-canvas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spacing w:after="120" w:line="300" w:lineRule="auto"/>
        <w:rPr>
          <w:rFonts w:ascii="Arial Black" w:cs="Arial Black" w:eastAsia="Arial Black" w:hAnsi="Arial Black"/>
          <w:b w:val="1"/>
          <w:bCs w:val="1"/>
          <w:color w:val="ff9525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i w:val="1"/>
          <w:iCs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headerReference r:id="rId11" w:type="even"/>
      <w:footerReference r:id="rId12" w:type="default"/>
      <w:footerReference r:id="rId13" w:type="first"/>
      <w:footerReference r:id="rId14" w:type="even"/>
      <w:pgSz w:h="16838" w:w="11906" w:orient="portrait"/>
      <w:pgMar w:bottom="1134" w:top="1702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Arial Black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/>
      <w:drawing>
        <wp:inline distB="114300" distT="114300" distL="114300" distR="114300">
          <wp:extent cx="5760410" cy="457200"/>
          <wp:effectExtent b="0" l="0" r="0" t="0"/>
          <wp:docPr id="1662090308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60410" cy="457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1079500</wp:posOffset>
              </wp:positionH>
              <wp:positionV relativeFrom="paragraph">
                <wp:posOffset>-50794</wp:posOffset>
              </wp:positionV>
              <wp:extent cx="5162793" cy="1884111"/>
              <wp:effectExtent b="0" l="0" r="0" t="0"/>
              <wp:wrapNone/>
              <wp:docPr id="1662090306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764600" y="2837925"/>
                        <a:ext cx="5162793" cy="1884111"/>
                        <a:chOff x="2764600" y="2837925"/>
                        <a:chExt cx="5162800" cy="1914400"/>
                      </a:xfrm>
                    </wpg:grpSpPr>
                    <wpg:grpSp>
                      <wpg:cNvGrpSpPr/>
                      <wpg:grpSpPr>
                        <a:xfrm>
                          <a:off x="2764604" y="2837945"/>
                          <a:ext cx="5162793" cy="1884111"/>
                          <a:chOff x="2764600" y="2837925"/>
                          <a:chExt cx="5162800" cy="1950675"/>
                        </a:xfrm>
                      </wpg:grpSpPr>
                      <wps:wsp>
                        <wps:cNvSpPr/>
                        <wps:cNvPr id="4" name="Shape 4"/>
                        <wps:spPr>
                          <a:xfrm>
                            <a:off x="2764600" y="2837925"/>
                            <a:ext cx="5162800" cy="1950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2764604" y="2837945"/>
                            <a:ext cx="5162793" cy="1884111"/>
                            <a:chOff x="2764600" y="2837925"/>
                            <a:chExt cx="5162800" cy="2036875"/>
                          </a:xfrm>
                        </wpg:grpSpPr>
                        <wps:wsp>
                          <wps:cNvSpPr/>
                          <wps:cNvPr id="6" name="Shape 6"/>
                          <wps:spPr>
                            <a:xfrm>
                              <a:off x="2764600" y="2837925"/>
                              <a:ext cx="5162800" cy="20368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2764604" y="2837945"/>
                              <a:ext cx="5162793" cy="1884111"/>
                              <a:chOff x="2764600" y="2837925"/>
                              <a:chExt cx="5162800" cy="2275825"/>
                            </a:xfrm>
                          </wpg:grpSpPr>
                          <wps:wsp>
                            <wps:cNvSpPr/>
                            <wps:cNvPr id="8" name="Shape 8"/>
                            <wps:spPr>
                              <a:xfrm>
                                <a:off x="2764600" y="2837925"/>
                                <a:ext cx="5162800" cy="22758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2764604" y="2837945"/>
                                <a:ext cx="5162793" cy="1884111"/>
                                <a:chOff x="2769400" y="1476225"/>
                                <a:chExt cx="7922601" cy="2779150"/>
                              </a:xfrm>
                            </wpg:grpSpPr>
                            <wps:wsp>
                              <wps:cNvSpPr/>
                              <wps:cNvPr id="10" name="Shape 10"/>
                              <wps:spPr>
                                <a:xfrm>
                                  <a:off x="2769400" y="1476225"/>
                                  <a:ext cx="7922600" cy="27791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/>
                              <wps:cNvPr id="11" name="Shape 11"/>
                              <wps:spPr>
                                <a:xfrm>
                                  <a:off x="2769400" y="3524275"/>
                                  <a:ext cx="5571600" cy="731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160" w:before="0" w:line="240"/>
                                      <w:ind w:left="0" w:right="0" w:firstLine="0"/>
                                      <w:jc w:val="both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1"/>
                                        <w:smallCaps w:val="0"/>
                                        <w:strike w:val="0"/>
                                        <w:color w:val="000000"/>
                                        <w:sz w:val="22"/>
                                        <w:vertAlign w:val="baseline"/>
                                      </w:rPr>
                                      <w:t xml:space="preserve">Funded by the European Union. Views and opinions expressed are however those of the author(s) only and do not necessarily reflect those of the European Union or OeAD-GmbH. Neither the European Union nor the granting authority can be held responsible for them.</w:t>
                                    </w:r>
                                    <w:r w:rsidDel="00000000" w:rsidR="00000000" w:rsidRPr="00000000">
                                      <w:rPr>
                                        <w:rFonts w:ascii="Calibri" w:cs="Calibri" w:eastAsia="Calibri" w:hAnsi="Calibri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16"/>
                                        <w:vertAlign w:val="baseline"/>
                                      </w:rPr>
                                      <w:t xml:space="preserve">.</w:t>
                                    </w:r>
                                  </w:p>
                                </w:txbxContent>
                              </wps:txbx>
                              <wps:bodyPr anchorCtr="0" anchor="t" bIns="45700" lIns="91425" spcFirstLastPara="1" rIns="91425" wrap="square" tIns="45700">
                                <a:noAutofit/>
                              </wps:bodyPr>
                            </wps:wsp>
                            <wps:wsp>
                              <wps:cNvSpPr/>
                              <wps:cNvPr id="12" name="Shape 12"/>
                              <wps:spPr>
                                <a:xfrm>
                                  <a:off x="9662060" y="1476225"/>
                                  <a:ext cx="1029941" cy="52167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t" bIns="91425" lIns="91425" spcFirstLastPara="1" rIns="91425" wrap="square" tIns="91425">
                                <a:noAutofit/>
                              </wps:bodyPr>
                            </wps:w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1079500</wp:posOffset>
              </wp:positionH>
              <wp:positionV relativeFrom="paragraph">
                <wp:posOffset>-50794</wp:posOffset>
              </wp:positionV>
              <wp:extent cx="5162793" cy="1884111"/>
              <wp:effectExtent b="0" l="0" r="0" t="0"/>
              <wp:wrapNone/>
              <wp:docPr id="1662090306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62793" cy="1884111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-412740</wp:posOffset>
              </wp:positionH>
              <wp:positionV relativeFrom="paragraph">
                <wp:posOffset>330200</wp:posOffset>
              </wp:positionV>
              <wp:extent cx="0" cy="28575"/>
              <wp:effectExtent b="0" l="0" r="0" t="0"/>
              <wp:wrapNone/>
              <wp:docPr id="1662090305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73461" y="3780000"/>
                        <a:ext cx="6145078" cy="0"/>
                      </a:xfrm>
                      <a:prstGeom prst="straightConnector1">
                        <a:avLst/>
                      </a:prstGeom>
                      <a:noFill/>
                      <a:ln cap="flat" cmpd="sng" w="28575">
                        <a:solidFill>
                          <a:srgbClr val="FF9525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-412740</wp:posOffset>
              </wp:positionH>
              <wp:positionV relativeFrom="paragraph">
                <wp:posOffset>330200</wp:posOffset>
              </wp:positionV>
              <wp:extent cx="0" cy="28575"/>
              <wp:effectExtent b="0" l="0" r="0" t="0"/>
              <wp:wrapNone/>
              <wp:docPr id="166209030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28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-597259</wp:posOffset>
          </wp:positionH>
          <wp:positionV relativeFrom="paragraph">
            <wp:posOffset>-278760</wp:posOffset>
          </wp:positionV>
          <wp:extent cx="1597032" cy="604434"/>
          <wp:effectExtent b="0" l="0" r="0" t="0"/>
          <wp:wrapNone/>
          <wp:docPr id="166209030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30318" l="0" r="0" t="0"/>
                  <a:stretch>
                    <a:fillRect/>
                  </a:stretch>
                </pic:blipFill>
                <pic:spPr>
                  <a:xfrm>
                    <a:off x="0" y="0"/>
                    <a:ext cx="1597032" cy="604434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▪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▪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▪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▪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Encabezado">
    <w:name w:val="header"/>
    <w:link w:val="EncabezadoCar"/>
    <w:uiPriority w:val="99"/>
    <w:unhideWhenUsed w:val="1"/>
    <w:rsid w:val="005C1941"/>
    <w:pPr>
      <w:tabs>
        <w:tab w:val="center" w:pos="4536"/>
        <w:tab w:val="right" w:pos="9072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5C1941"/>
  </w:style>
  <w:style w:type="paragraph" w:styleId="Piedepgina">
    <w:name w:val="footer"/>
    <w:link w:val="PiedepginaCar"/>
    <w:uiPriority w:val="99"/>
    <w:unhideWhenUsed w:val="1"/>
    <w:rsid w:val="005C1941"/>
    <w:pPr>
      <w:tabs>
        <w:tab w:val="center" w:pos="4536"/>
        <w:tab w:val="right" w:pos="9072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5C1941"/>
  </w:style>
  <w:style w:type="table" w:styleId="EinfacheTabelle11" w:customStyle="1">
    <w:name w:val="Einfache Tabelle 11"/>
    <w:basedOn w:val="Tablanormal"/>
    <w:next w:val="Tablanormal1"/>
    <w:uiPriority w:val="41"/>
    <w:rsid w:val="00756F65"/>
    <w:pPr>
      <w:spacing w:after="0" w:line="240" w:lineRule="auto"/>
    </w:pPr>
    <w:rPr>
      <w:rFonts w:ascii="Arial" w:cs="Times New Roman" w:hAnsi="Arial"/>
    </w:rPr>
    <w:tblPr>
      <w:tblStyleRowBandSize w:val="1"/>
      <w:tblStyleColBandSize w:val="1"/>
      <w:tblInd w:w="0.0" w:type="nil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Tablanormal1">
    <w:name w:val="Plain Table 1"/>
    <w:basedOn w:val="Tablanormal"/>
    <w:uiPriority w:val="41"/>
    <w:rsid w:val="00756F65"/>
    <w:pPr>
      <w:spacing w:after="0" w:line="240" w:lineRule="auto"/>
    </w:pPr>
    <w:tblPr>
      <w:tblStyleRowBandSize w:val="1"/>
      <w:tblStyleColBandSize w:val="1"/>
      <w:tblBorders>
        <w:top w:color="bfbfbf" w:space="0" w:sz="4" w:themeColor="background1" w:themeShade="0000BF" w:val="single"/>
        <w:left w:color="bfbfbf" w:space="0" w:sz="4" w:themeColor="background1" w:themeShade="0000BF" w:val="single"/>
        <w:bottom w:color="bfbfbf" w:space="0" w:sz="4" w:themeColor="background1" w:themeShade="0000BF" w:val="single"/>
        <w:right w:color="bfbfbf" w:space="0" w:sz="4" w:themeColor="background1" w:themeShade="0000BF" w:val="single"/>
        <w:insideH w:color="bfbfbf" w:space="0" w:sz="4" w:themeColor="background1" w:themeShade="0000BF" w:val="single"/>
        <w:insideV w:color="bfbfbf" w:space="0" w:sz="4" w:themeColor="background1" w:themeShade="0000BF" w:val="single"/>
      </w:tblBorders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themeColor="background1" w:themeShade="0000BF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paragraph" w:styleId="Default" w:customStyle="1">
    <w:name w:val="Default"/>
    <w:rsid w:val="00756F65"/>
    <w:pPr>
      <w:autoSpaceDE w:val="0"/>
      <w:autoSpaceDN w:val="0"/>
      <w:adjustRightInd w:val="0"/>
      <w:spacing w:after="0" w:line="240" w:lineRule="auto"/>
    </w:pPr>
    <w:rPr>
      <w:rFonts w:ascii="Arial" w:cs="Arial" w:hAnsi="Arial"/>
      <w:color w:val="000000"/>
      <w:sz w:val="24"/>
      <w:szCs w:val="24"/>
    </w:rPr>
  </w:style>
  <w:style w:type="table" w:styleId="a" w:customStyle="1">
    <w:basedOn w:val="TableNormal2"/>
    <w:pPr>
      <w:spacing w:after="0" w:line="240" w:lineRule="auto"/>
    </w:pPr>
    <w:rPr>
      <w:rFonts w:ascii="Arial" w:cs="Arial" w:eastAsia="Arial" w:hAnsi="Arial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fbfbf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val="clear"/>
      </w:tcPr>
    </w:tblStylePr>
    <w:tblStylePr w:type="band1Horz">
      <w:tblPr/>
      <w:tcPr>
        <w:shd w:color="auto" w:fill="f2f2f2" w:val="clear"/>
      </w:tcPr>
    </w:tblStylePr>
  </w:style>
  <w:style w:type="table" w:styleId="a0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1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table" w:styleId="a2" w:customStyle="1">
    <w:basedOn w:val="TableNormal2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b w:val="1"/>
        <w:bCs w:val="1"/>
      </w:rPr>
      <w:tblPr/>
      <w:tcPr>
        <w:tcBorders>
          <w:bottom w:color="666666" w:space="0" w:sz="12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</w:style>
  <w:style w:type="character" w:styleId="Ttulo1Car" w:customStyle="1">
    <w:name w:val="Título 1 Car"/>
    <w:basedOn w:val="Fuentedeprrafopredeter"/>
    <w:link w:val="Ttulo1"/>
    <w:uiPriority w:val="9"/>
    <w:rsid w:val="00117DAB"/>
    <w:rPr>
      <w:b w:val="1"/>
      <w:bCs w:val="1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0"/>
      <w:szCs w:val="2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eader" Target="header3.xml"/><Relationship Id="rId13" Type="http://schemas.openxmlformats.org/officeDocument/2006/relationships/footer" Target="footer3.xml"/><Relationship Id="rId12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2.xm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strategyzer.com/library/the-business-model-canvas?utm_source=chatgpt.com" TargetMode="External"/><Relationship Id="rId8" Type="http://schemas.openxmlformats.org/officeDocument/2006/relationships/hyperlink" Target="https://www.strategyzer.com/library/the-business-model-canvas?utm_source=chatgpt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3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T7iBEDuu3ULq7taB1uwgN8aJxw==">CgMxLjA4AHIhMTNCM2VEWXg1bUZfMWM3X1dXX2hVRGpqeE54S09hR016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2026-03-03T10:44:00Z</dcterms:created>
  <dc:creator>Dominika Stiger</dc:creator>
</cp:coreProperties>
</file>