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6752"/>
        <w:tblGridChange w:id="0">
          <w:tblGrid>
            <w:gridCol w:w="2263"/>
            <w:gridCol w:w="6752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Titulo de la unidad</w:t>
            </w:r>
          </w:p>
          <w:p w:rsidR="00000000" w:rsidDel="00000000" w:rsidP="00000000" w:rsidRDefault="00000000" w:rsidRPr="00000000" w14:paraId="00000003">
            <w:pPr>
              <w:spacing w:after="60" w:before="60" w:line="276" w:lineRule="auto"/>
              <w:rPr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pStyle w:val="Heading1"/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color w:val="ed7d3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ed7d31"/>
                <w:sz w:val="24"/>
                <w:szCs w:val="24"/>
                <w:rtl w:val="0"/>
              </w:rPr>
              <w:t xml:space="preserve">Información general sobre los trabajadores migrantes, mejores prácticas, enfoques de gestión y liderazgo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5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Duración de la actividad</w:t>
            </w:r>
          </w:p>
          <w:p w:rsidR="00000000" w:rsidDel="00000000" w:rsidP="00000000" w:rsidRDefault="00000000" w:rsidRPr="00000000" w14:paraId="00000006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30 minutos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8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Resultados de aprendizaje</w:t>
            </w:r>
          </w:p>
        </w:tc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Después de completar esta actividad, el alumno será capaz de...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Reconocer las principales características de la mano de obra migrante.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Identificar las barreras y oportunidades para una integración y gestión exitosas.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Evaluar ejemplos de buenas prácticas para la inclusión de los trabajadores migrantes.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Comprender los retos de liderazgo y gestión en contextos multiculturales.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E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Tipo de actividad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Clase magistral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Debate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Actividad en grupo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Actividad individual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3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Recursos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Presentación en PowerPoint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PDF / folleto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Recursos en línea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7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Requisitos organizativos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Proyector o pantalla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Espacio para actividades en grupo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Materiales para lluvia de ideas/tomar notas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97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C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Descripción de la actividad </w:t>
            </w:r>
          </w:p>
          <w:p w:rsidR="00000000" w:rsidDel="00000000" w:rsidP="00000000" w:rsidRDefault="00000000" w:rsidRPr="00000000" w14:paraId="0000001D">
            <w:pPr>
              <w:spacing w:after="60" w:before="6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El formador presenta el tema de los trabajadores migrantes utilizando datos y testimonios. </w:t>
            </w:r>
          </w:p>
          <w:p w:rsidR="00000000" w:rsidDel="00000000" w:rsidP="00000000" w:rsidRDefault="00000000" w:rsidRPr="00000000" w14:paraId="0000001F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Se presentan los principales aspectos de la diversidad y las barreras típicas (lingüísticas, culturales y normativas). Se muestran ejemplos de empresas que practican la tutoría, la formación intercultural, el acceso más fácil a los servicios y otras buenas prácticas. </w:t>
            </w:r>
          </w:p>
          <w:p w:rsidR="00000000" w:rsidDel="00000000" w:rsidP="00000000" w:rsidRDefault="00000000" w:rsidRPr="00000000" w14:paraId="00000020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Se invita a los participantes a compartir sus experiencias personales y a debatir las buenas prácticas que podrían trasladarse a su propio contexto.</w:t>
            </w:r>
          </w:p>
          <w:p w:rsidR="00000000" w:rsidDel="00000000" w:rsidP="00000000" w:rsidRDefault="00000000" w:rsidRPr="00000000" w14:paraId="00000021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Se sugieren técnicas útiles, como los juegos de rol y el World Café.</w:t>
            </w:r>
          </w:p>
        </w:tc>
      </w:tr>
      <w:tr>
        <w:trPr>
          <w:cantSplit w:val="0"/>
          <w:trHeight w:val="195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2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Notas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Fomente comentarios respetuosos, específicos y prácticos.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Utilice preguntas orientativas para dirigir los comentarios (por ejemplo, ¿El plan incluye indicadores medibles? ¿La estrategia propuesta es realista e inclusiva?).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Lleve un control del tiempo.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6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Fuentes/ </w:t>
            </w:r>
          </w:p>
          <w:p w:rsidR="00000000" w:rsidDel="00000000" w:rsidP="00000000" w:rsidRDefault="00000000" w:rsidRPr="00000000" w14:paraId="00000027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Lecturas adicionales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EU Official Reports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hyperlink r:id="rId7">
              <w:r w:rsidDel="00000000" w:rsidR="00000000" w:rsidRPr="00000000">
                <w:rPr>
                  <w:color w:val="0000ff"/>
                  <w:sz w:val="21"/>
                  <w:szCs w:val="21"/>
                  <w:u w:val="single"/>
                  <w:rtl w:val="0"/>
                </w:rPr>
                <w:t xml:space="preserve">Annual Report on Intra-EU Labour Mobility 2024</w:t>
              </w:r>
            </w:hyperlink>
            <w:r w:rsidDel="00000000" w:rsidR="00000000" w:rsidRPr="00000000">
              <w:rPr>
                <w:sz w:val="21"/>
                <w:szCs w:val="21"/>
                <w:rtl w:val="0"/>
              </w:rPr>
              <w:t xml:space="preserve">. European Commission. Provides data on 10 million EU movers (20-64 years), their social outcomes, and role in sectors like healthcare; notes circular mobility trends for 2022-2023.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hyperlink r:id="rId8">
              <w:r w:rsidDel="00000000" w:rsidR="00000000" w:rsidRPr="00000000">
                <w:rPr>
                  <w:color w:val="0000ff"/>
                  <w:sz w:val="21"/>
                  <w:szCs w:val="21"/>
                  <w:u w:val="single"/>
                  <w:rtl w:val="0"/>
                </w:rPr>
                <w:t xml:space="preserve">Migrant integration statistics – labour market indicators. </w:t>
              </w:r>
            </w:hyperlink>
            <w:r w:rsidDel="00000000" w:rsidR="00000000" w:rsidRPr="00000000">
              <w:rPr>
                <w:sz w:val="21"/>
                <w:szCs w:val="21"/>
                <w:rtl w:val="0"/>
              </w:rPr>
              <w:t xml:space="preserve">Eurostat (2024). Tracks employment rates (59.1% for non-EU vs. 74% nationals in 2021), unemployment gaps, and trends; essential for cross-country comparisons.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hyperlink r:id="rId9">
              <w:r w:rsidDel="00000000" w:rsidR="00000000" w:rsidRPr="00000000">
                <w:rPr>
                  <w:color w:val="0000ff"/>
                  <w:sz w:val="21"/>
                  <w:szCs w:val="21"/>
                  <w:u w:val="single"/>
                  <w:rtl w:val="0"/>
                </w:rPr>
                <w:t xml:space="preserve">Employment of Migrants in the European Union.</w:t>
              </w:r>
            </w:hyperlink>
            <w:r w:rsidDel="00000000" w:rsidR="00000000" w:rsidRPr="00000000">
              <w:rPr>
                <w:sz w:val="21"/>
                <w:szCs w:val="21"/>
                <w:rtl w:val="0"/>
              </w:rPr>
              <w:t xml:space="preserve"> RF Berlin / CReAM Report (2025). Analyses 2010-2024 trends; EU immigrants at 74.9%, non-EU at 65.3%, with narrowing gaps and country variations (e.g., Poland +34pp for EU migrants).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hyperlink r:id="rId10">
              <w:r w:rsidDel="00000000" w:rsidR="00000000" w:rsidRPr="00000000">
                <w:rPr>
                  <w:color w:val="0000ff"/>
                  <w:sz w:val="21"/>
                  <w:szCs w:val="21"/>
                  <w:u w:val="single"/>
                  <w:rtl w:val="0"/>
                </w:rPr>
                <w:t xml:space="preserve">Migration, mobility and the EU labour market</w:t>
              </w:r>
            </w:hyperlink>
            <w:r w:rsidDel="00000000" w:rsidR="00000000" w:rsidRPr="00000000">
              <w:rPr>
                <w:sz w:val="21"/>
                <w:szCs w:val="21"/>
                <w:rtl w:val="0"/>
              </w:rPr>
              <w:t xml:space="preserve">. European Commission (2025). Examines post-2019 employment growth (+3pp for migrants vs. +2.5pp natives), intra-EU and non-EU contributions.</w:t>
            </w:r>
          </w:p>
          <w:p w:rsidR="00000000" w:rsidDel="00000000" w:rsidP="00000000" w:rsidRDefault="00000000" w:rsidRPr="00000000" w14:paraId="0000002D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International &amp; Policy Reviews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5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hyperlink r:id="rId11">
              <w:r w:rsidDel="00000000" w:rsidR="00000000" w:rsidRPr="00000000">
                <w:rPr>
                  <w:color w:val="0000ff"/>
                  <w:sz w:val="21"/>
                  <w:szCs w:val="21"/>
                  <w:u w:val="single"/>
                  <w:rtl w:val="0"/>
                </w:rPr>
                <w:t xml:space="preserve">International Migration Outlook 2025</w:t>
              </w:r>
            </w:hyperlink>
            <w:r w:rsidDel="00000000" w:rsidR="00000000" w:rsidRPr="00000000">
              <w:rPr>
                <w:sz w:val="21"/>
                <w:szCs w:val="21"/>
                <w:rtl w:val="0"/>
              </w:rPr>
              <w:t xml:space="preserve">. OECD. Covers labour inclusion policies (e.g., Germany's Job-Turbo), anti-exploitation measures, and digital integration tools across OECD/EU states.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6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hyperlink r:id="rId12">
              <w:r w:rsidDel="00000000" w:rsidR="00000000" w:rsidRPr="00000000">
                <w:rPr>
                  <w:color w:val="0000ff"/>
                  <w:sz w:val="21"/>
                  <w:szCs w:val="21"/>
                  <w:u w:val="single"/>
                  <w:rtl w:val="0"/>
                </w:rPr>
                <w:t xml:space="preserve">ICMPD Migration Outlook 2025</w:t>
              </w:r>
            </w:hyperlink>
            <w:r w:rsidDel="00000000" w:rsidR="00000000" w:rsidRPr="00000000">
              <w:rPr>
                <w:sz w:val="21"/>
                <w:szCs w:val="21"/>
                <w:rtl w:val="0"/>
              </w:rPr>
              <w:t xml:space="preserve">. ICMPD. Discusses Ukrainian refugees' integration (rising employment in 2024) and broader EU trends amid returns and pendular migration.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6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hyperlink r:id="rId13">
              <w:r w:rsidDel="00000000" w:rsidR="00000000" w:rsidRPr="00000000">
                <w:rPr>
                  <w:color w:val="0000ff"/>
                  <w:sz w:val="21"/>
                  <w:szCs w:val="21"/>
                  <w:u w:val="single"/>
                  <w:rtl w:val="0"/>
                </w:rPr>
                <w:t xml:space="preserve">MIPEX 2025: Unlocking Integration. Migration Policy Group</w:t>
              </w:r>
            </w:hyperlink>
            <w:r w:rsidDel="00000000" w:rsidR="00000000" w:rsidRPr="00000000">
              <w:rPr>
                <w:sz w:val="21"/>
                <w:szCs w:val="21"/>
                <w:rtl w:val="0"/>
              </w:rPr>
              <w:t xml:space="preserve">. Benchmarks policies in 27 EU states (2020-2024), linking integration to labour participation.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7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hyperlink r:id="rId14">
              <w:r w:rsidDel="00000000" w:rsidR="00000000" w:rsidRPr="00000000">
                <w:rPr>
                  <w:color w:val="0000ff"/>
                  <w:sz w:val="21"/>
                  <w:szCs w:val="21"/>
                  <w:u w:val="single"/>
                  <w:rtl w:val="0"/>
                </w:rPr>
                <w:t xml:space="preserve">Employment and Social Developments in Europe 2025</w:t>
              </w:r>
            </w:hyperlink>
            <w:r w:rsidDel="00000000" w:rsidR="00000000" w:rsidRPr="00000000">
              <w:rPr>
                <w:sz w:val="21"/>
                <w:szCs w:val="21"/>
                <w:rtl w:val="0"/>
              </w:rPr>
              <w:t xml:space="preserve">. European Commission. Notes migrants' role in achieving EU's 75.8% employment peak in 2024, with focus on women and older workers.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headerReference r:id="rId15" w:type="default"/>
      <w:footerReference r:id="rId16" w:type="default"/>
      <w:pgSz w:h="16838" w:w="11906" w:orient="portrait"/>
      <w:pgMar w:bottom="1134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5760410" cy="457200"/>
          <wp:effectExtent b="0" l="0" r="0" t="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-104774</wp:posOffset>
          </wp:positionH>
          <wp:positionV relativeFrom="paragraph">
            <wp:posOffset>-191134</wp:posOffset>
          </wp:positionV>
          <wp:extent cx="1597025" cy="603885"/>
          <wp:effectExtent b="0" l="0" r="0" t="0"/>
          <wp:wrapNone/>
          <wp:docPr descr="Uma imagem com Tipo de letra, Gráficos, logótipo, captura de ecrã&#10;&#10;Descrição gerada automaticamente" id="1" name="image1.png"/>
          <a:graphic>
            <a:graphicData uri="http://schemas.openxmlformats.org/drawingml/2006/picture">
              <pic:pic>
                <pic:nvPicPr>
                  <pic:cNvPr descr="Uma imagem com Tipo de letra, Gráficos, logótipo, captura de ecrã&#10;&#10;Descrição gerada automaticamente" id="0" name="image1.png"/>
                  <pic:cNvPicPr preferRelativeResize="0"/>
                </pic:nvPicPr>
                <pic:blipFill>
                  <a:blip r:embed="rId1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-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0"/>
      <w:numFmt w:val="bullet"/>
      <w:lvlText w:val="-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•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5">
    <w:lvl w:ilvl="0">
      <w:start w:val="1"/>
      <w:numFmt w:val="bullet"/>
      <w:lvlText w:val="•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6">
    <w:lvl w:ilvl="0">
      <w:start w:val="1"/>
      <w:numFmt w:val="bullet"/>
      <w:lvlText w:val="•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7">
    <w:lvl w:ilvl="0">
      <w:start w:val="1"/>
      <w:numFmt w:val="bullet"/>
      <w:lvlText w:val="•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oecd.org/en/publications/international-migration-outlook-2025_ae26c893-en/full-report/recent-developments-in-migrant-integration-policy_3b9ac272.html" TargetMode="External"/><Relationship Id="rId10" Type="http://schemas.openxmlformats.org/officeDocument/2006/relationships/hyperlink" Target="https://economy-finance.ec.europa.eu/migration-mobility-and-eu-labour-market_en" TargetMode="External"/><Relationship Id="rId13" Type="http://schemas.openxmlformats.org/officeDocument/2006/relationships/hyperlink" Target="https://www.migpolgroup.com/wp-content/uploads/2025/09/MIPEX-results-2025.pdf" TargetMode="External"/><Relationship Id="rId12" Type="http://schemas.openxmlformats.org/officeDocument/2006/relationships/hyperlink" Target="https://www.icmpd.org/file/download/63373/file/ICMPD%2520Migration%2520Outlook%25202025.pd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rfberlin.com/wp-content/uploads/2025/07/RFBerlin_CReAM_Report072025_Employment-of-Migrants.pdf" TargetMode="External"/><Relationship Id="rId15" Type="http://schemas.openxmlformats.org/officeDocument/2006/relationships/header" Target="header1.xml"/><Relationship Id="rId14" Type="http://schemas.openxmlformats.org/officeDocument/2006/relationships/hyperlink" Target="https://news.industriall-europe.eu/documents/upload/2025/9/638948255037511238_ESDE_report_EU_Commission.pdf" TargetMode="Externa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employment-social-affairs.ec.europa.eu/annual-report-intra-eu-labour-mobility-2024_en" TargetMode="External"/><Relationship Id="rId8" Type="http://schemas.openxmlformats.org/officeDocument/2006/relationships/hyperlink" Target="https://ec.europa.eu/eurostat/statistics-explained/index.php?title=Migrant_integration_statistics_%E2%80%93_labour_market_indicator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HRExZVor5YqmDFiB1sh99eSlhg==">CgMxLjA4AHIhMUFRQXg4Qkl2cUs5OGdhem9tSU9NU0FzWGR2VFdqYkMw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