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Unit Title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General information on migrant workers, best practice, management &amp; leadership approaches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  <w:rtl w:val="0"/>
              </w:rPr>
              <w:t xml:space="preserve">Unit 19 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  <w:rtl w:val="0"/>
              </w:rPr>
              <w:t xml:space="preserve">by ARES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30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Recognise the main characteristics of the migrant workforce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Identify barriers and opportunities for successful integration and management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Evaluate examples of best practice for including migrant workers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Understand leadership and management challenges in multicultural contexts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Lecture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720" w:firstLine="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PowerPoint Presentation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PDF / handout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Online resources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left="720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 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- Projector or screen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- Space for group activities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- Materials for brainstorming/note-taking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F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20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21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The trainer introduces the topic of migrant workers using data and testimonies. 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Main aspects of diversity and typical barriers (language, culture, regulatory) are presented. Examples of companies practising mentoring, intercultural training, easier access to services, and other best practices are shown. 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Participants are invited to share personal experience and discuss best practices that could be transferred to their own context.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Useful techniques, such as role play and World Cafè, are suggested. 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7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Emphasise the importance of inclusive leadership and leveraging the skills of migrant workers. Encourage participants to share workable solutions for their local realities, actively engaging entrepreneurs and trainers.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9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EU Official Reports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Annual Report on Intra-EU Labour Mobility 2024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European Commission. Provides data on 10 million EU movers (20-64 years), their social outcomes, and role in sectors like healthcare; notes circular mobility trends for 2022-2023.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Migrant integration statistics – labour market indicators. 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Eurostat (2024). Tracks employment rates (59.1% for non-EU vs. 74% nationals in 2021), unemployment gaps, and trends; essential for cross-country comparisons.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Employment of Migrants in the European Union.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RF Berlin / CReAM Report (2025). Analyses 2010-2024 trends; EU immigrants at 74.9%, non-EU at 65.3%, with narrowing gaps and country variations (e.g., Poland +34pp for EU migrants).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Migration, mobility and the EU labour market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European Commission (2025). Examines post-2019 employment growth (+3pp for migrants vs. +2.5pp natives), intra-EU and non-EU contributions.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International &amp; Policy Reviews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International Migration Outlook 2025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OECD. Covers labour inclusion policies (e.g., Germany's Job-Turbo), anti-exploitation measures, and digital integration tools across OECD/EU states.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ICMPD Migration Outlook 2025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ICMPD. Discusses Ukrainian refugees' integration (rising employment in 2024) and broader EU trends amid returns and pendular migration.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MIPEX 2025: Unlocking Integration. Migration Policy Group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Benchmarks policies in 27 EU states (2020-2024), linking integration to labour participation.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0000ff"/>
                  <w:sz w:val="21"/>
                  <w:szCs w:val="21"/>
                  <w:u w:val="single"/>
                  <w:rtl w:val="0"/>
                </w:rPr>
                <w:t xml:space="preserve">Employment and Social Developments in Europe 2025</w:t>
              </w:r>
            </w:hyperlink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European Commission. Notes migrants' role in achieving EU's 75.8% employment peak in 2024, with focus on women and older workers.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File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UNIT19_Migrant_Workforce_Inclusion_Training_Base.pptx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footerReference r:id="rId17" w:type="first"/>
      <w:pgSz w:h="16837" w:w="11905" w:orient="portrait"/>
      <w:pgMar w:bottom="1418" w:top="1560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color="e7e6e6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1581150</wp:posOffset>
              </wp:positionH>
              <wp:positionV relativeFrom="paragraph">
                <wp:posOffset>116970</wp:posOffset>
              </wp:positionV>
              <wp:extent cx="4695190" cy="1436516"/>
              <wp:effectExtent b="0" l="0" r="0" t="0"/>
              <wp:wrapNone/>
              <wp:docPr id="196969359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036505" y="3077690"/>
                        <a:ext cx="461899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9.0000820159912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Project N° 2023-1-AT01-KA220-VET-000152934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1581150</wp:posOffset>
              </wp:positionH>
              <wp:positionV relativeFrom="paragraph">
                <wp:posOffset>116970</wp:posOffset>
              </wp:positionV>
              <wp:extent cx="4695190" cy="1436516"/>
              <wp:effectExtent b="0" l="0" r="0" t="0"/>
              <wp:wrapNone/>
              <wp:docPr id="196969359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5190" cy="14365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-5708</wp:posOffset>
          </wp:positionH>
          <wp:positionV relativeFrom="paragraph">
            <wp:posOffset>113662</wp:posOffset>
          </wp:positionV>
          <wp:extent cx="1466850" cy="309380"/>
          <wp:effectExtent b="0" l="0" r="0" t="0"/>
          <wp:wrapNone/>
          <wp:docPr id="196969359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-228594</wp:posOffset>
          </wp:positionH>
          <wp:positionV relativeFrom="paragraph">
            <wp:posOffset>-457192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594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-68257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59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-68257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59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Collegamentoipertestuale">
    <w:name w:val="Hyperlink"/>
    <w:uiPriority w:val="99"/>
    <w:rsid w:val="00AD16B6"/>
    <w:rPr>
      <w:color w:val="0000ff"/>
      <w:u w:val="single"/>
    </w:rPr>
  </w:style>
  <w:style w:type="character" w:styleId="Collegamentovisitato">
    <w:name w:val="FollowedHyperlink"/>
    <w:semiHidden w:val="1"/>
    <w:rsid w:val="00AD16B6"/>
    <w:rPr>
      <w:color w:val="800080"/>
      <w:u w:val="single"/>
    </w:rPr>
  </w:style>
  <w:style w:type="character" w:styleId="Enfasigrassett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Corpotesto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Corpotesto">
    <w:name w:val="Body Text"/>
    <w:semiHidden w:val="1"/>
    <w:rsid w:val="00AD16B6"/>
  </w:style>
  <w:style w:type="paragraph" w:styleId="Elenco">
    <w:name w:val="List"/>
    <w:basedOn w:val="Corpotesto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Intestazione">
    <w:name w:val="header"/>
    <w:link w:val="IntestazioneCarattere"/>
    <w:uiPriority w:val="99"/>
    <w:rsid w:val="00AD16B6"/>
    <w:pPr>
      <w:tabs>
        <w:tab w:val="center" w:pos="4536"/>
        <w:tab w:val="right" w:pos="9072"/>
      </w:tabs>
    </w:pPr>
  </w:style>
  <w:style w:type="paragraph" w:styleId="Pidipagina">
    <w:name w:val="footer"/>
    <w:link w:val="PidipaginaCarattere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ormaleWeb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Carpredefinitoparagrafo"/>
    <w:rsid w:val="000A0663"/>
  </w:style>
  <w:style w:type="character" w:styleId="IntestazioneCarattere" w:customStyle="1">
    <w:name w:val="Intestazione Carattere"/>
    <w:link w:val="Intestazione"/>
    <w:uiPriority w:val="99"/>
    <w:rsid w:val="005F3EAC"/>
    <w:rPr>
      <w:sz w:val="24"/>
      <w:szCs w:val="24"/>
      <w:lang w:eastAsia="ar-SA" w:val="pl-PL"/>
    </w:rPr>
  </w:style>
  <w:style w:type="character" w:styleId="Rimandocommento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 w:val="1"/>
    <w:unhideWhenUsed w:val="1"/>
    <w:rsid w:val="007C066A"/>
    <w:rPr>
      <w:sz w:val="20"/>
      <w:szCs w:val="20"/>
    </w:rPr>
  </w:style>
  <w:style w:type="character" w:styleId="TestocommentoCarattere" w:customStyle="1">
    <w:name w:val="Testo commento Carattere"/>
    <w:link w:val="Testocommento"/>
    <w:uiPriority w:val="99"/>
    <w:semiHidden w:val="1"/>
    <w:rsid w:val="007C066A"/>
    <w:rPr>
      <w:lang w:eastAsia="ar-SA" w:val="pl-P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7C066A"/>
    <w:rPr>
      <w:b w:val="1"/>
      <w:bCs w:val="1"/>
    </w:rPr>
  </w:style>
  <w:style w:type="character" w:styleId="SoggettocommentoCarattere" w:customStyle="1">
    <w:name w:val="Soggetto commento Carattere"/>
    <w:link w:val="Soggettocommento"/>
    <w:uiPriority w:val="99"/>
    <w:semiHidden w:val="1"/>
    <w:rsid w:val="007C066A"/>
    <w:rPr>
      <w:b w:val="1"/>
      <w:bCs w:val="1"/>
      <w:lang w:eastAsia="ar-SA" w:val="pl-PL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Carpredefinitoparagrafo"/>
    <w:rsid w:val="00A778F0"/>
  </w:style>
  <w:style w:type="character" w:styleId="PidipaginaCarattere" w:customStyle="1">
    <w:name w:val="Piè di pagina Carattere"/>
    <w:link w:val="Pidipagin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Carpredefinitoparagrafo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Carpredefinitoparagrafo"/>
    <w:rsid w:val="009109A0"/>
  </w:style>
  <w:style w:type="paragraph" w:styleId="PreformattatoHTML">
    <w:name w:val="HTML Preformatted"/>
    <w:link w:val="PreformattatoHTMLCarattere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PreformattatoHTMLCarattere" w:customStyle="1">
    <w:name w:val="Preformattato HTML Carattere"/>
    <w:link w:val="PreformattatoHTML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Carpredefinitoparagrafo"/>
    <w:rsid w:val="009D601B"/>
  </w:style>
  <w:style w:type="paragraph" w:styleId="Paragrafoelenco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Carpredefinitoparagrafo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Grigliatabella">
    <w:name w:val="Table Grid"/>
    <w:basedOn w:val="Tabellanormale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itolosommario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Sommario1">
    <w:name w:val="toc 1"/>
    <w:autoRedefine w:val="1"/>
    <w:uiPriority w:val="39"/>
    <w:unhideWhenUsed w:val="1"/>
    <w:rsid w:val="002F1671"/>
    <w:pPr>
      <w:spacing w:after="100"/>
    </w:pPr>
  </w:style>
  <w:style w:type="paragraph" w:styleId="Sommario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Sommario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Carpredefinitoparagrafo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Carpredefinitoparagrafo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Nessunaspaziatura">
    <w:name w:val="No Spacing"/>
    <w:aliases w:val="Figure description"/>
    <w:link w:val="NessunaspaziaturaCarattere"/>
    <w:uiPriority w:val="1"/>
    <w:qFormat w:val="1"/>
    <w:rsid w:val="00B34A2C"/>
    <w:rPr>
      <w:i w:val="1"/>
      <w:iCs w:val="1"/>
      <w:lang w:eastAsia="de-DE"/>
    </w:rPr>
  </w:style>
  <w:style w:type="character" w:styleId="NessunaspaziaturaCarattere" w:customStyle="1">
    <w:name w:val="Nessuna spaziatura Carattere"/>
    <w:aliases w:val="Figure description Carattere"/>
    <w:basedOn w:val="Carpredefinitoparagrafo"/>
    <w:link w:val="Nessunaspaziatura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Tabellasemplice-1">
    <w:name w:val="Plain Table 1"/>
    <w:basedOn w:val="Tabellanormale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Carpredefinitoparagrafo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lagriglia1chiara">
    <w:name w:val="Grid Table 1 Light"/>
    <w:basedOn w:val="Tabellanormale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oecd.org/en/publications/international-migration-outlook-2025_ae26c893-en/full-report/recent-developments-in-migrant-integration-policy_3b9ac272.html" TargetMode="External"/><Relationship Id="rId10" Type="http://schemas.openxmlformats.org/officeDocument/2006/relationships/hyperlink" Target="https://economy-finance.ec.europa.eu/migration-mobility-and-eu-labour-market_en" TargetMode="External"/><Relationship Id="rId13" Type="http://schemas.openxmlformats.org/officeDocument/2006/relationships/hyperlink" Target="https://www.migpolgroup.com/wp-content/uploads/2025/09/MIPEX-results-2025.pdf" TargetMode="External"/><Relationship Id="rId12" Type="http://schemas.openxmlformats.org/officeDocument/2006/relationships/hyperlink" Target="https://www.icmpd.org/file/download/63373/file/ICMPD%2520Migration%2520Outlook%25202025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fberlin.com/wp-content/uploads/2025/07/RFBerlin_CReAM_Report072025_Employment-of-Migrants.pdf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news.industriall-europe.eu/documents/upload/2025/9/638948255037511238_ESDE_report_EU_Commission.pdf" TargetMode="Externa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mployment-social-affairs.ec.europa.eu/annual-report-intra-eu-labour-mobility-2024_en" TargetMode="External"/><Relationship Id="rId8" Type="http://schemas.openxmlformats.org/officeDocument/2006/relationships/hyperlink" Target="https://ec.europa.eu/eurostat/statistics-explained/index.php?title=Migrant_integration_statistics_%E2%80%93_labour_market_indicator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mHVzduF8APriTRkbH/GYJVue1w==">CgMxLjA4AHIhMTZVMmNWRjlDVDg2S253QmNYNXJ4bDFvUzVFcmU4bzI1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2026-01-21T13:53:00Z</dcterms:created>
  <dc:creator>Carina Posch</dc:creator>
</cp:coreProperties>
</file>