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57B21" w14:textId="77777777" w:rsidR="00407A21" w:rsidRDefault="00407A2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407A21" w:rsidRPr="003E1078" w14:paraId="683D04CF" w14:textId="77777777">
        <w:trPr>
          <w:trHeight w:val="406"/>
        </w:trPr>
        <w:tc>
          <w:tcPr>
            <w:tcW w:w="2263" w:type="dxa"/>
            <w:shd w:val="clear" w:color="auto" w:fill="FF6D25"/>
          </w:tcPr>
          <w:p w14:paraId="09018FF6" w14:textId="77777777" w:rsidR="00407A21" w:rsidRDefault="00EE682C">
            <w:pPr>
              <w:pStyle w:val="berschrift1"/>
              <w:spacing w:before="60" w:after="60" w:line="276" w:lineRule="auto"/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Titulo de la unidad</w:t>
            </w:r>
          </w:p>
          <w:p w14:paraId="1BFC844C" w14:textId="77777777" w:rsidR="00407A21" w:rsidRDefault="00407A21">
            <w:pPr>
              <w:spacing w:before="60" w:after="60" w:line="276" w:lineRule="auto"/>
              <w:rPr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416C065D" w14:textId="77777777" w:rsidR="00407A21" w:rsidRPr="003E1078" w:rsidRDefault="00EE682C">
            <w:pPr>
              <w:pStyle w:val="berschrift1"/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ED7D31"/>
                <w:sz w:val="21"/>
                <w:szCs w:val="21"/>
                <w:lang w:val="pt-BR"/>
              </w:rPr>
            </w:pPr>
            <w:r w:rsidRPr="003E1078">
              <w:rPr>
                <w:rFonts w:ascii="Arial" w:eastAsia="Arial" w:hAnsi="Arial" w:cs="Arial"/>
                <w:b/>
                <w:bCs/>
                <w:color w:val="ED7D31"/>
                <w:sz w:val="21"/>
                <w:szCs w:val="21"/>
                <w:lang w:val="pt-BR"/>
              </w:rPr>
              <w:t>Información general sobre los trabajadores mayores, mejores prácticas, enfoques de gestión y liderazgo.</w:t>
            </w:r>
          </w:p>
        </w:tc>
      </w:tr>
      <w:tr w:rsidR="00407A21" w14:paraId="144FE945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07EE700A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Duración de la actividad</w:t>
            </w:r>
          </w:p>
          <w:p w14:paraId="614CE641" w14:textId="77777777" w:rsidR="00407A21" w:rsidRDefault="00407A21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5E2A3569" w14:textId="77777777" w:rsidR="00407A21" w:rsidRDefault="00EE682C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 minutos</w:t>
            </w:r>
          </w:p>
        </w:tc>
      </w:tr>
      <w:tr w:rsidR="00407A21" w:rsidRPr="003E1078" w14:paraId="0CC56552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58B4B3A9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Resultados de aprendizaje</w:t>
            </w:r>
          </w:p>
        </w:tc>
        <w:tc>
          <w:tcPr>
            <w:tcW w:w="6752" w:type="dxa"/>
          </w:tcPr>
          <w:p w14:paraId="275D520F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3E1078">
              <w:rPr>
                <w:color w:val="000000"/>
                <w:sz w:val="21"/>
                <w:szCs w:val="21"/>
                <w:lang w:val="pt-BR"/>
              </w:rPr>
              <w:t>Después de completar esta actividad, el alumno será capaz de...</w:t>
            </w:r>
          </w:p>
          <w:p w14:paraId="4221BFFF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3E1078">
              <w:rPr>
                <w:color w:val="000000"/>
                <w:sz w:val="21"/>
                <w:szCs w:val="21"/>
                <w:lang w:val="pt-BR"/>
              </w:rPr>
              <w:t>●    Comprender las tendencias demográficas actuales, las barreras, los beneficios y la importancia estratégica de los trabajadores mayores en la planificación de la fuerza laboral.</w:t>
            </w:r>
          </w:p>
          <w:p w14:paraId="23CF7C78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3E1078">
              <w:rPr>
                <w:color w:val="000000"/>
                <w:sz w:val="21"/>
                <w:szCs w:val="21"/>
                <w:lang w:val="pt-BR"/>
              </w:rPr>
              <w:t>●    Identificar las mejores prácticas de RR. HH. para la retención, el desarrollo y el compromiso de los empleados mayores.</w:t>
            </w:r>
          </w:p>
          <w:p w14:paraId="69E6D179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3E1078">
              <w:rPr>
                <w:color w:val="000000"/>
                <w:sz w:val="21"/>
                <w:szCs w:val="21"/>
                <w:lang w:val="pt-BR"/>
              </w:rPr>
              <w:t>●    Evaluar los enfoques de liderazgo y gestión que fomentan la diversidad de edad y la inclusión.</w:t>
            </w:r>
          </w:p>
          <w:p w14:paraId="56FEEC8B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3E1078">
              <w:rPr>
                <w:color w:val="000000"/>
                <w:sz w:val="21"/>
                <w:szCs w:val="21"/>
                <w:lang w:val="pt-BR"/>
              </w:rPr>
              <w:t>●    Reflexionar sobre las políticas de RR. HH. de su organización e identificar posibles mejoras para apoyar mejor a los trabajadores mayores.</w:t>
            </w:r>
          </w:p>
        </w:tc>
      </w:tr>
      <w:tr w:rsidR="00407A21" w14:paraId="1DD82E9D" w14:textId="77777777">
        <w:tc>
          <w:tcPr>
            <w:tcW w:w="2263" w:type="dxa"/>
            <w:shd w:val="clear" w:color="auto" w:fill="F2F2F2"/>
          </w:tcPr>
          <w:p w14:paraId="0BCC9F95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Tipo de actividad</w:t>
            </w:r>
          </w:p>
        </w:tc>
        <w:tc>
          <w:tcPr>
            <w:tcW w:w="6752" w:type="dxa"/>
          </w:tcPr>
          <w:p w14:paraId="4412D1B9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Clase magistral</w:t>
            </w:r>
          </w:p>
          <w:p w14:paraId="210481B2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    Debate</w:t>
            </w:r>
          </w:p>
          <w:p w14:paraId="44F05B30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    Actividad en grupo</w:t>
            </w:r>
          </w:p>
          <w:p w14:paraId="53E70BE4" w14:textId="77777777" w:rsidR="00407A21" w:rsidRDefault="00EE682C">
            <w:pPr>
              <w:spacing w:line="276" w:lineRule="auto"/>
              <w:rPr>
                <w:sz w:val="21"/>
                <w:szCs w:val="21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    </w:t>
            </w:r>
            <w:r>
              <w:rPr>
                <w:sz w:val="21"/>
                <w:szCs w:val="21"/>
              </w:rPr>
              <w:t xml:space="preserve">Actividad individual </w:t>
            </w:r>
          </w:p>
          <w:p w14:paraId="61C0004B" w14:textId="77777777" w:rsidR="00407A21" w:rsidRDefault="00EE682C">
            <w:pPr>
              <w:spacing w:line="276" w:lineRule="auto"/>
              <w:rPr>
                <w:i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Aprendizaje autodirigido</w:t>
            </w:r>
          </w:p>
        </w:tc>
      </w:tr>
      <w:tr w:rsidR="00407A21" w14:paraId="2690D9E5" w14:textId="77777777">
        <w:tc>
          <w:tcPr>
            <w:tcW w:w="2263" w:type="dxa"/>
            <w:shd w:val="clear" w:color="auto" w:fill="F2F2F2"/>
          </w:tcPr>
          <w:p w14:paraId="0981100F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Recursos</w:t>
            </w:r>
          </w:p>
        </w:tc>
        <w:tc>
          <w:tcPr>
            <w:tcW w:w="6752" w:type="dxa"/>
          </w:tcPr>
          <w:p w14:paraId="3751CCD1" w14:textId="77777777" w:rsidR="00407A21" w:rsidRPr="003E1078" w:rsidRDefault="00EE682C">
            <w:pP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Presentación en PowerPoint:  </w:t>
            </w:r>
          </w:p>
          <w:p w14:paraId="582B3EB3" w14:textId="77777777" w:rsidR="00407A21" w:rsidRPr="003E1078" w:rsidRDefault="00EE682C">
            <w:pP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    Lista de verificación</w:t>
            </w:r>
          </w:p>
          <w:p w14:paraId="0E112B87" w14:textId="77777777" w:rsidR="00407A21" w:rsidRDefault="00EE682C">
            <w:pPr>
              <w:spacing w:after="0" w:line="276" w:lineRule="auto"/>
              <w:rPr>
                <w:sz w:val="21"/>
                <w:szCs w:val="21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    </w:t>
            </w:r>
            <w:r>
              <w:rPr>
                <w:sz w:val="21"/>
                <w:szCs w:val="21"/>
              </w:rPr>
              <w:t>Recurso en línea:</w:t>
            </w:r>
          </w:p>
          <w:p w14:paraId="43BF8CFF" w14:textId="77777777" w:rsidR="00407A21" w:rsidRDefault="00EE682C">
            <w:pPr>
              <w:spacing w:after="0"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Rotafolio:</w:t>
            </w:r>
          </w:p>
        </w:tc>
      </w:tr>
      <w:tr w:rsidR="00407A21" w14:paraId="3E6177B3" w14:textId="77777777">
        <w:tc>
          <w:tcPr>
            <w:tcW w:w="2263" w:type="dxa"/>
            <w:shd w:val="clear" w:color="auto" w:fill="F2F2F2"/>
          </w:tcPr>
          <w:p w14:paraId="1E03F611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Requisitos organizativos</w:t>
            </w:r>
          </w:p>
        </w:tc>
        <w:tc>
          <w:tcPr>
            <w:tcW w:w="6752" w:type="dxa"/>
          </w:tcPr>
          <w:p w14:paraId="1903B5C8" w14:textId="77777777" w:rsidR="00407A21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Pizarra inteligente o proyector</w:t>
            </w:r>
          </w:p>
        </w:tc>
      </w:tr>
      <w:tr w:rsidR="00407A21" w14:paraId="734F903C" w14:textId="77777777">
        <w:trPr>
          <w:trHeight w:val="1597"/>
        </w:trPr>
        <w:tc>
          <w:tcPr>
            <w:tcW w:w="2263" w:type="dxa"/>
            <w:shd w:val="clear" w:color="auto" w:fill="F2F2F2"/>
          </w:tcPr>
          <w:p w14:paraId="3C39D0CA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Descripción de la actividad </w:t>
            </w:r>
          </w:p>
          <w:p w14:paraId="110BA928" w14:textId="77777777" w:rsidR="00407A21" w:rsidRDefault="00407A21">
            <w:pPr>
              <w:spacing w:before="60" w:after="60" w:line="276" w:lineRule="auto"/>
              <w:rPr>
                <w:sz w:val="21"/>
                <w:szCs w:val="21"/>
              </w:rPr>
            </w:pPr>
          </w:p>
        </w:tc>
        <w:tc>
          <w:tcPr>
            <w:tcW w:w="6752" w:type="dxa"/>
          </w:tcPr>
          <w:p w14:paraId="076519DC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Introducción y objetivos (5 min)</w:t>
            </w:r>
          </w:p>
          <w:p w14:paraId="4C9DB47C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Presente los objetivos y su relevancia: relación con los cambios demográficos, la escasez de mano de obra y las estrategias de diversidad. Pregunte: «¿Qué retos u oportunidades ve en materia de recursos humanos con los trabajadores mayores?». (Presentación)</w:t>
            </w:r>
          </w:p>
          <w:p w14:paraId="5921CF4A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Barreras y ventajas de los trabajadores mayores (10 min)</w:t>
            </w:r>
          </w:p>
          <w:p w14:paraId="011A2659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Presente los retos y las ventajas para los empleadores y los empleados. Destaque el valor (experiencia, lealtad, capacidad de tutoría) y los retos (salud, adaptación tecnológica, prejuicios). (Presentación)</w:t>
            </w:r>
          </w:p>
          <w:p w14:paraId="633DDD5A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Conclusiones clave para las pymes en Europa</w:t>
            </w:r>
          </w:p>
          <w:p w14:paraId="5761A84D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lastRenderedPageBreak/>
              <w:t xml:space="preserve">Lista de verificación de RR. HH. adaptada a la edad para pymes </w:t>
            </w:r>
          </w:p>
          <w:p w14:paraId="588278C6" w14:textId="77777777" w:rsidR="00407A21" w:rsidRPr="003E1078" w:rsidRDefault="00407A21">
            <w:pPr>
              <w:spacing w:line="276" w:lineRule="auto"/>
              <w:rPr>
                <w:sz w:val="21"/>
                <w:szCs w:val="21"/>
                <w:lang w:val="pt-BR"/>
              </w:rPr>
            </w:pPr>
          </w:p>
          <w:p w14:paraId="206025DD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Estudios de casos de buenas prácticas (10 min)</w:t>
            </w:r>
          </w:p>
          <w:p w14:paraId="23995246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Presente 2-3 ejemplos de empresas con prácticas exitosas de inclusión de la edad </w:t>
            </w:r>
          </w:p>
          <w:p w14:paraId="4BF609BE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– Organización del trabajo orientada a la demografía.</w:t>
            </w:r>
          </w:p>
          <w:p w14:paraId="38E08E59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– Promoción y gestión de la salud.</w:t>
            </w:r>
          </w:p>
          <w:p w14:paraId="19C1BB62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– Formación profesional y aprendizaje permanente.</w:t>
            </w:r>
          </w:p>
          <w:p w14:paraId="383E6A48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– Mentoría inversa y equipos intergeneracionales.</w:t>
            </w:r>
          </w:p>
          <w:p w14:paraId="4D80112A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Invite a los grupos a reflexionar brevemente sobre qué prácticas podrían adaptarse a su propio contexto. (Presentación y preguntas y respuestas)</w:t>
            </w:r>
          </w:p>
          <w:p w14:paraId="451F5D43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Ejercicio interactivo:</w:t>
            </w:r>
          </w:p>
          <w:p w14:paraId="5F49A77C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 «Diseño de una política de RR. HH. inclusiva con la edad» (10 min)</w:t>
            </w:r>
          </w:p>
          <w:p w14:paraId="27AB1937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Grupos pequeños: revisen un escenario (por ejemplo, rediseñar un programa de aprendizaje y desarrollo para incluir al personal sénior). Identifiquen medidas concretas de RR. HH., incentivos y apoyos de liderazgo. (Debate en grupo y comentarios)</w:t>
            </w:r>
          </w:p>
          <w:p w14:paraId="69F30C4C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Resumen de enfoques de liderazgo (5 min)</w:t>
            </w:r>
          </w:p>
          <w:p w14:paraId="2C2BBE17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Resuman los estilos de liderazgo que apoyan a los trabajadores sénior:</w:t>
            </w:r>
          </w:p>
          <w:p w14:paraId="25284336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Liderazgo transformacional y participativo.</w:t>
            </w:r>
          </w:p>
          <w:p w14:paraId="14A733B4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Culturas de coaching y mentoring.</w:t>
            </w:r>
          </w:p>
          <w:p w14:paraId="6D7745FF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Estrategias de comunicación inclusivas.</w:t>
            </w:r>
          </w:p>
          <w:p w14:paraId="13C53E07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Relacione estos aspectos con el papel de RR. HH. en el desarrollo del liderazgo. (Presentación)</w:t>
            </w:r>
          </w:p>
          <w:p w14:paraId="10E945B9" w14:textId="77777777" w:rsidR="00407A21" w:rsidRPr="003E1078" w:rsidRDefault="00EE682C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Reflexión y conclusiones</w:t>
            </w:r>
          </w:p>
          <w:p w14:paraId="60248001" w14:textId="77777777" w:rsidR="00407A21" w:rsidRDefault="00EE682C">
            <w:pPr>
              <w:spacing w:line="276" w:lineRule="auto"/>
              <w:rPr>
                <w:sz w:val="21"/>
                <w:szCs w:val="21"/>
              </w:rPr>
            </w:pPr>
            <w:r w:rsidRPr="003E1078">
              <w:rPr>
                <w:sz w:val="21"/>
                <w:szCs w:val="21"/>
                <w:lang w:val="pt-BR"/>
              </w:rPr>
              <w:t xml:space="preserve">Pregunta para la mesa redonda: «¿Qué iniciativa de RR. HH. podría implementar en su empresa para aprovechar el talento de las personas mayores?». </w:t>
            </w:r>
            <w:r>
              <w:rPr>
                <w:sz w:val="21"/>
                <w:szCs w:val="21"/>
              </w:rPr>
              <w:t>Resuma y concluya. (Reflexión en grupo)</w:t>
            </w:r>
          </w:p>
        </w:tc>
      </w:tr>
      <w:tr w:rsidR="00407A21" w:rsidRPr="003E1078" w14:paraId="2A6FBA8F" w14:textId="77777777">
        <w:trPr>
          <w:trHeight w:val="1954"/>
        </w:trPr>
        <w:tc>
          <w:tcPr>
            <w:tcW w:w="2263" w:type="dxa"/>
            <w:shd w:val="clear" w:color="auto" w:fill="F2F2F2"/>
          </w:tcPr>
          <w:p w14:paraId="4E5D40E3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Notas del formador</w:t>
            </w:r>
          </w:p>
        </w:tc>
        <w:tc>
          <w:tcPr>
            <w:tcW w:w="6752" w:type="dxa"/>
          </w:tcPr>
          <w:p w14:paraId="6A8F1E4D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Notas del alumno / Puntos clave</w:t>
            </w:r>
          </w:p>
          <w:p w14:paraId="0F8A6803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Contexto estratégico</w:t>
            </w:r>
          </w:p>
          <w:p w14:paraId="4BC4EE1E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La población activa está envejeciendo; aprovechar el talento de los trabajadores sénior es fundamental para la continuidad del negocio y la innovación.</w:t>
            </w:r>
          </w:p>
          <w:p w14:paraId="5CEFC31F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La diversidad de edades mejora la creatividad, la estabilidad y el aprendizaje intergeneracional.</w:t>
            </w:r>
          </w:p>
          <w:p w14:paraId="751D6E60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Mejores prácticas de RR. HH.</w:t>
            </w:r>
          </w:p>
          <w:p w14:paraId="05204B38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Implementar descripciones de puestos de trabajo neutras en cuanto a la edad y campañas de contratación inclusivas.</w:t>
            </w:r>
          </w:p>
          <w:p w14:paraId="42F25E03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lastRenderedPageBreak/>
              <w:t>●    Apoyar el aprendizaje continuo y la mejora de las competencias digitales del personal sénior.</w:t>
            </w:r>
          </w:p>
          <w:p w14:paraId="670D7B8B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Ofrecer trayectorias profesionales flexibles, como opciones a tiempo parcial o jubilación gradual.</w:t>
            </w:r>
          </w:p>
          <w:p w14:paraId="0B497744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Fomentar la colaboración intergeneracional a través de la tutoría y el diseño de equipos.</w:t>
            </w:r>
          </w:p>
          <w:p w14:paraId="1C71112B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Supervisar y contrarrestar los prejuicios por edad en las oportunidades de promoción, evaluación y formación.</w:t>
            </w:r>
          </w:p>
          <w:p w14:paraId="38AC7191" w14:textId="77777777" w:rsidR="00407A21" w:rsidRPr="003E1078" w:rsidRDefault="00407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</w:p>
          <w:p w14:paraId="4A8DA470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Enfoques de liderazgo</w:t>
            </w:r>
          </w:p>
          <w:p w14:paraId="36EA3195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Transformacional: inspirar y empoderar a los trabajadores sénior para que contribuyan estratégicamente.</w:t>
            </w:r>
          </w:p>
          <w:p w14:paraId="517CF340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Participativo: involucrarlos en la toma de decisiones y el intercambio de conocimientos.</w:t>
            </w:r>
          </w:p>
          <w:p w14:paraId="418CBB16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Coaching: centrarse en las fortalezas individuales, la motivación y la adaptabilidad.</w:t>
            </w:r>
          </w:p>
          <w:p w14:paraId="4EF216DB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●    El papel de RR. HH.: proporcionar marcos, formación e incentivos que ayuden a los directivos a aplicar estos enfoques.</w:t>
            </w:r>
          </w:p>
          <w:p w14:paraId="38639D8F" w14:textId="77777777" w:rsidR="00407A21" w:rsidRPr="003E1078" w:rsidRDefault="00407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</w:p>
          <w:p w14:paraId="60A05429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Conclusión práctica</w:t>
            </w:r>
          </w:p>
          <w:p w14:paraId="01C9813D" w14:textId="77777777" w:rsidR="00407A21" w:rsidRPr="003E1078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3E1078">
              <w:rPr>
                <w:sz w:val="21"/>
                <w:szCs w:val="21"/>
                <w:lang w:val="pt-BR"/>
              </w:rPr>
              <w:t>Los responsables de RR. HH. desempeñan un papel clave en la configuración de una cultura inclusiva con la edad. Al considerar a los trabajadores de más edad como activos estratégicos en lugar de como un «riesgo de jubilación», las organizaciones pueden reforzar el compromiso, la transferencia de conocimientos y el rendimiento general.</w:t>
            </w:r>
          </w:p>
        </w:tc>
      </w:tr>
      <w:tr w:rsidR="00407A21" w14:paraId="201EA615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1B54B8AD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 xml:space="preserve">Fuentes/ </w:t>
            </w:r>
          </w:p>
          <w:p w14:paraId="1C3D7C39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Lecturas adicionales</w:t>
            </w:r>
          </w:p>
        </w:tc>
        <w:tc>
          <w:tcPr>
            <w:tcW w:w="6752" w:type="dxa"/>
          </w:tcPr>
          <w:p w14:paraId="7DD35319" w14:textId="77777777" w:rsidR="00407A21" w:rsidRDefault="00EE682C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hyperlink r:id="rId8">
              <w:r>
                <w:rPr>
                  <w:color w:val="1155CC"/>
                  <w:sz w:val="20"/>
                  <w:szCs w:val="20"/>
                  <w:u w:val="single"/>
                </w:rPr>
                <w:t>Europe must adapt to its ageing workforce</w:t>
              </w:r>
            </w:hyperlink>
          </w:p>
          <w:p w14:paraId="2F27CF5C" w14:textId="77777777" w:rsidR="00407A21" w:rsidRDefault="00EE682C">
            <w:pPr>
              <w:numPr>
                <w:ilvl w:val="0"/>
                <w:numId w:val="1"/>
              </w:numPr>
              <w:shd w:val="clear" w:color="auto" w:fill="FFFFFF"/>
              <w:spacing w:after="180"/>
              <w:rPr>
                <w:color w:val="0A0A0A"/>
                <w:sz w:val="20"/>
                <w:szCs w:val="20"/>
              </w:rPr>
            </w:pPr>
            <w:hyperlink r:id="rId9">
              <w:r>
                <w:rPr>
                  <w:color w:val="1A0DAB"/>
                  <w:sz w:val="20"/>
                  <w:szCs w:val="20"/>
                  <w:u w:val="single"/>
                </w:rPr>
                <w:t>OECD Employment Outlook 2025</w:t>
              </w:r>
            </w:hyperlink>
            <w:r>
              <w:rPr>
                <w:b/>
                <w:bCs/>
                <w:color w:val="0A0A0A"/>
                <w:sz w:val="20"/>
                <w:szCs w:val="20"/>
              </w:rPr>
              <w:t>:</w:t>
            </w:r>
            <w:r>
              <w:rPr>
                <w:color w:val="0A0A0A"/>
                <w:sz w:val="20"/>
                <w:szCs w:val="20"/>
              </w:rPr>
              <w:t> A major report titled "Navigating the Golden Years" analyzes how to improve the employability of older workers and reduce </w:t>
            </w:r>
            <w:r>
              <w:rPr>
                <w:b/>
                <w:bCs/>
                <w:color w:val="0A0A0A"/>
                <w:sz w:val="20"/>
                <w:szCs w:val="20"/>
              </w:rPr>
              <w:t>labour market rigidities</w:t>
            </w:r>
            <w:r>
              <w:rPr>
                <w:color w:val="0A0A0A"/>
                <w:sz w:val="20"/>
                <w:szCs w:val="20"/>
              </w:rPr>
              <w:t>.</w:t>
            </w:r>
          </w:p>
          <w:p w14:paraId="254AB7D8" w14:textId="77777777" w:rsidR="00407A21" w:rsidRDefault="00EE682C">
            <w:pPr>
              <w:numPr>
                <w:ilvl w:val="0"/>
                <w:numId w:val="1"/>
              </w:numPr>
              <w:shd w:val="clear" w:color="auto" w:fill="FFFFFF"/>
              <w:spacing w:after="180"/>
              <w:rPr>
                <w:color w:val="0A0A0A"/>
                <w:sz w:val="20"/>
                <w:szCs w:val="20"/>
              </w:rPr>
            </w:pPr>
            <w:r>
              <w:rPr>
                <w:b/>
                <w:bCs/>
                <w:color w:val="0A0A0A"/>
                <w:sz w:val="20"/>
                <w:szCs w:val="20"/>
              </w:rPr>
              <w:t>Technological Integration:</w:t>
            </w:r>
            <w:r>
              <w:rPr>
                <w:color w:val="0A0A0A"/>
                <w:sz w:val="20"/>
                <w:szCs w:val="20"/>
              </w:rPr>
              <w:t xml:space="preserve"> Research on how older workers adapt to </w:t>
            </w:r>
            <w:r>
              <w:rPr>
                <w:b/>
                <w:bCs/>
                <w:color w:val="0A0A0A"/>
                <w:sz w:val="20"/>
                <w:szCs w:val="20"/>
              </w:rPr>
              <w:t>digital tools</w:t>
            </w:r>
            <w:r>
              <w:rPr>
                <w:color w:val="0A0A0A"/>
                <w:sz w:val="20"/>
                <w:szCs w:val="20"/>
              </w:rPr>
              <w:t xml:space="preserve"> and "cobots" is detailed in the </w:t>
            </w:r>
            <w:hyperlink r:id="rId10">
              <w:r>
                <w:rPr>
                  <w:color w:val="1A0DAB"/>
                  <w:sz w:val="20"/>
                  <w:szCs w:val="20"/>
                  <w:u w:val="single"/>
                </w:rPr>
                <w:t>"Roadmap for Managing an Ageing Workforce"</w:t>
              </w:r>
            </w:hyperlink>
            <w:r>
              <w:rPr>
                <w:color w:val="0A0A0A"/>
                <w:sz w:val="20"/>
                <w:szCs w:val="20"/>
              </w:rPr>
              <w:t>.</w:t>
            </w:r>
          </w:p>
          <w:p w14:paraId="3E7B8E85" w14:textId="77777777" w:rsidR="00407A21" w:rsidRDefault="00EE682C">
            <w:pPr>
              <w:numPr>
                <w:ilvl w:val="0"/>
                <w:numId w:val="1"/>
              </w:numPr>
              <w:shd w:val="clear" w:color="auto" w:fill="FFFFFF"/>
              <w:spacing w:after="180"/>
              <w:rPr>
                <w:color w:val="0A0A0A"/>
                <w:sz w:val="20"/>
                <w:szCs w:val="20"/>
              </w:rPr>
            </w:pPr>
            <w:r>
              <w:rPr>
                <w:b/>
                <w:bCs/>
                <w:color w:val="0A0A0A"/>
                <w:sz w:val="20"/>
                <w:szCs w:val="20"/>
              </w:rPr>
              <w:t>Policy Solutions:</w:t>
            </w:r>
            <w:r>
              <w:rPr>
                <w:color w:val="0A0A0A"/>
                <w:sz w:val="20"/>
                <w:szCs w:val="20"/>
              </w:rPr>
              <w:t> The EU's </w:t>
            </w:r>
            <w:hyperlink r:id="rId11">
              <w:r>
                <w:rPr>
                  <w:color w:val="1A0DAB"/>
                  <w:sz w:val="20"/>
                  <w:szCs w:val="20"/>
                  <w:u w:val="single"/>
                </w:rPr>
                <w:t>Demography Toolbox</w:t>
              </w:r>
            </w:hyperlink>
            <w:r>
              <w:rPr>
                <w:color w:val="0A0A0A"/>
                <w:sz w:val="20"/>
                <w:szCs w:val="20"/>
              </w:rPr>
              <w:t xml:space="preserve"> and the </w:t>
            </w:r>
            <w:r>
              <w:rPr>
                <w:b/>
                <w:bCs/>
                <w:color w:val="0A0A0A"/>
                <w:sz w:val="20"/>
                <w:szCs w:val="20"/>
              </w:rPr>
              <w:t>Union of Skills</w:t>
            </w:r>
            <w:r>
              <w:rPr>
                <w:color w:val="0A0A0A"/>
                <w:sz w:val="20"/>
                <w:szCs w:val="20"/>
              </w:rPr>
              <w:t> (launched 2025) focus on </w:t>
            </w:r>
            <w:r>
              <w:rPr>
                <w:b/>
                <w:bCs/>
                <w:color w:val="0A0A0A"/>
                <w:sz w:val="20"/>
                <w:szCs w:val="20"/>
              </w:rPr>
              <w:t>lifelong learning</w:t>
            </w:r>
            <w:r>
              <w:rPr>
                <w:color w:val="0A0A0A"/>
                <w:sz w:val="20"/>
                <w:szCs w:val="20"/>
              </w:rPr>
              <w:t> and flexible retirement pathways</w:t>
            </w:r>
          </w:p>
          <w:p w14:paraId="25174EDF" w14:textId="77777777" w:rsidR="00407A21" w:rsidRDefault="00EE682C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hyperlink r:id="rId12">
              <w:r>
                <w:rPr>
                  <w:color w:val="1155CC"/>
                  <w:sz w:val="20"/>
                  <w:szCs w:val="20"/>
                  <w:u w:val="single"/>
                </w:rPr>
                <w:t>Keeping older workers in the labour force” – Eurofound</w:t>
              </w:r>
            </w:hyperlink>
          </w:p>
          <w:p w14:paraId="0A399097" w14:textId="77777777" w:rsidR="00407A21" w:rsidRDefault="00EE682C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hyperlink r:id="rId13">
              <w:r>
                <w:rPr>
                  <w:color w:val="1155CC"/>
                  <w:sz w:val="20"/>
                  <w:szCs w:val="20"/>
                  <w:u w:val="single"/>
                </w:rPr>
                <w:t>EU-Labour Market Statistics – Eurostat</w:t>
              </w:r>
            </w:hyperlink>
          </w:p>
          <w:p w14:paraId="5D6CA095" w14:textId="77777777" w:rsidR="00407A21" w:rsidRDefault="00EE682C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hyperlink r:id="rId14">
              <w:r>
                <w:rPr>
                  <w:color w:val="1155CC"/>
                  <w:sz w:val="20"/>
                  <w:szCs w:val="20"/>
                  <w:u w:val="single"/>
                </w:rPr>
                <w:t>The rise of elderly workers: The Europeans defying retirement norms and working past the age of 70” – Euronews / reporting</w:t>
              </w:r>
            </w:hyperlink>
          </w:p>
          <w:p w14:paraId="2B596905" w14:textId="77777777" w:rsidR="00407A21" w:rsidRDefault="00EE6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  <w:hyperlink r:id="rId15" w:anchor="sec1">
              <w:r>
                <w:rPr>
                  <w:color w:val="1155CC"/>
                  <w:sz w:val="20"/>
                  <w:szCs w:val="20"/>
                  <w:u w:val="single"/>
                </w:rPr>
                <w:t xml:space="preserve">Initiative „Ältere und </w:t>
              </w:r>
              <w:proofErr w:type="gramStart"/>
              <w:r>
                <w:rPr>
                  <w:color w:val="1155CC"/>
                  <w:sz w:val="20"/>
                  <w:szCs w:val="20"/>
                  <w:u w:val="single"/>
                </w:rPr>
                <w:t>Arbeitswelt“</w:t>
              </w:r>
              <w:proofErr w:type="gramEnd"/>
            </w:hyperlink>
          </w:p>
        </w:tc>
      </w:tr>
      <w:tr w:rsidR="00407A21" w14:paraId="466B7260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52D62F1F" w14:textId="77777777" w:rsidR="00407A21" w:rsidRDefault="00EE682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Nombre del archivo</w:t>
            </w:r>
          </w:p>
        </w:tc>
        <w:tc>
          <w:tcPr>
            <w:tcW w:w="6752" w:type="dxa"/>
          </w:tcPr>
          <w:p w14:paraId="7DDA9AA4" w14:textId="0073E78E" w:rsidR="00407A21" w:rsidRDefault="003E10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RPr="003E1078">
              <w:rPr>
                <w:b/>
                <w:bCs/>
                <w:color w:val="FF0000"/>
                <w:sz w:val="21"/>
                <w:szCs w:val="21"/>
              </w:rPr>
              <w:t>ELEVATE_Unit 11_ES.pptx</w:t>
            </w:r>
            <w:r w:rsidR="00EE682C">
              <w:rPr>
                <w:b/>
                <w:bCs/>
                <w:color w:val="FF0000"/>
                <w:sz w:val="21"/>
                <w:szCs w:val="21"/>
              </w:rPr>
              <w:br/>
            </w:r>
            <w:r w:rsidRPr="003E1078">
              <w:rPr>
                <w:b/>
                <w:bCs/>
                <w:color w:val="FF0000"/>
                <w:sz w:val="21"/>
                <w:szCs w:val="21"/>
              </w:rPr>
              <w:t>ELEVATE_Unit 11_Lesson Plan_ES.docx</w:t>
            </w:r>
            <w:r w:rsidR="00EE682C">
              <w:rPr>
                <w:b/>
                <w:bCs/>
                <w:color w:val="FF0000"/>
                <w:sz w:val="21"/>
                <w:szCs w:val="21"/>
              </w:rPr>
              <w:br/>
            </w:r>
            <w:r w:rsidRPr="003E1078">
              <w:rPr>
                <w:b/>
                <w:bCs/>
                <w:color w:val="FF0000"/>
                <w:sz w:val="21"/>
                <w:szCs w:val="21"/>
              </w:rPr>
              <w:t>ELEVATE_Unit 11_Checklist_Senior_Workers_ES.docx</w:t>
            </w:r>
          </w:p>
        </w:tc>
      </w:tr>
    </w:tbl>
    <w:p w14:paraId="230F9CD3" w14:textId="77777777" w:rsidR="00407A21" w:rsidRDefault="00407A21"/>
    <w:sectPr w:rsidR="00407A21">
      <w:footerReference w:type="default" r:id="rId16"/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C9417" w14:textId="77777777" w:rsidR="00EE682C" w:rsidRDefault="00EE682C">
      <w:pPr>
        <w:spacing w:after="0" w:line="240" w:lineRule="auto"/>
      </w:pPr>
      <w:r>
        <w:separator/>
      </w:r>
    </w:p>
  </w:endnote>
  <w:endnote w:type="continuationSeparator" w:id="0">
    <w:p w14:paraId="2991E3E8" w14:textId="77777777" w:rsidR="00EE682C" w:rsidRDefault="00EE6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5BA09756-F906-40C7-8C14-B2B60587CC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5F53833-ED25-457F-9701-1942D0EECB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2AD3" w14:textId="77777777" w:rsidR="00407A21" w:rsidRDefault="00EE68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290CF7B8" wp14:editId="71881001">
          <wp:extent cx="5760410" cy="4572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A08F" w14:textId="77777777" w:rsidR="00EE682C" w:rsidRDefault="00EE682C">
      <w:pPr>
        <w:spacing w:after="0" w:line="240" w:lineRule="auto"/>
      </w:pPr>
      <w:r>
        <w:separator/>
      </w:r>
    </w:p>
  </w:footnote>
  <w:footnote w:type="continuationSeparator" w:id="0">
    <w:p w14:paraId="675F29E3" w14:textId="77777777" w:rsidR="00EE682C" w:rsidRDefault="00EE6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930F6"/>
    <w:multiLevelType w:val="multilevel"/>
    <w:tmpl w:val="1A7ED2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1770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21"/>
    <w:rsid w:val="003E1078"/>
    <w:rsid w:val="00407A21"/>
    <w:rsid w:val="00523980"/>
    <w:rsid w:val="00EE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718BF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ofound.europa.eu/en/commentary-and-analysis/all-content/europe-must-adapt-its-ageing-workforce" TargetMode="External"/><Relationship Id="rId13" Type="http://schemas.openxmlformats.org/officeDocument/2006/relationships/hyperlink" Target="https://www.destatis.de/Europa/EN/Topic/Key-indicators/LabourMarket.html?utm_source=chatgpt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urofound.europa.eu/en/publications/all/keeping-older-workers-labour-force?utm_source=chatgpt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esc.europa.eu/sites/default/files/2025-11/empl_soc_817_feb_2025_final_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tmas.bayern.de/arbeit/aeltere-aw.php" TargetMode="External"/><Relationship Id="rId10" Type="http://schemas.openxmlformats.org/officeDocument/2006/relationships/hyperlink" Target="https://open-research-europe.ec.europa.eu/articles/5-2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cd.org/en/publications/oecd-employment-outlook-2025_194a947b-en/full-report/navigating-the-golden-years-making-the-labour-market-work-for-older-workers_2bc681ed.html" TargetMode="External"/><Relationship Id="rId14" Type="http://schemas.openxmlformats.org/officeDocument/2006/relationships/hyperlink" Target="https://www.euronews.com/next/2023/02/22/the-rise-of-elderly-workers-who-works-beyond-the-age-of-65-or-75-in-europe?utm_source=chatgpt.co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lVJCB/6iB1Jn+U0e/dO/NU/XcQ==">CgMxLjA4AHIhMUhLQWp1eExZeVhQUE11QW9Qa0xWVlpRVXhMT0NrOW1k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2026-09-22T14:40:00Z</dcterms:created>
  <dcterms:modified xsi:type="dcterms:W3CDTF">2026-09-22T14:41:00Z</dcterms:modified>
</cp:coreProperties>
</file>