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Unit Title 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Heading1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General information on senior workers, best practice, management &amp; leadership approaches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spacing w:after="60" w:before="6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Duration of activity</w:t>
            </w:r>
          </w:p>
          <w:p w:rsidR="00000000" w:rsidDel="00000000" w:rsidP="00000000" w:rsidRDefault="00000000" w:rsidRPr="00000000" w14:paraId="00000005">
            <w:pPr>
              <w:spacing w:after="60" w:before="6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45 minutes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7">
            <w:pPr>
              <w:spacing w:after="60" w:before="6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Learning </w:t>
              <w:br w:type="textWrapping"/>
              <w:t xml:space="preserve">Outcomes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After completing this activity, the learner will be able to…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3"/>
              </w:numPr>
              <w:spacing w:befor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Understand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current demographic trends, barriers, benefits and the strategic importance of senior workers in workforce planning.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Identify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HR best practices for retention, development, and engagement of senior employees.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Evaluate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leadership and management approaches that foster age diversity and inclusion.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3"/>
              </w:numPr>
              <w:spacing w:after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Reflect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on their organization’s HR policies and identify potential improvements to better support senior workers.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spacing w:after="60" w:before="6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Type of activity</w:t>
            </w:r>
          </w:p>
        </w:tc>
        <w:tc>
          <w:tcPr/>
          <w:p w:rsidR="00000000" w:rsidDel="00000000" w:rsidP="00000000" w:rsidRDefault="00000000" w:rsidRPr="00000000" w14:paraId="0000000E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Group activity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Individual activity 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Self-directed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spacing w:after="60" w:before="6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Resources</w:t>
            </w:r>
          </w:p>
        </w:tc>
        <w:tc>
          <w:tcPr/>
          <w:p w:rsidR="00000000" w:rsidDel="00000000" w:rsidP="00000000" w:rsidRDefault="00000000" w:rsidRPr="00000000" w14:paraId="00000014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PowerPoint Presentation:  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Check list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Online resource: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Flipchart: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Organisational </w:t>
              <w:br w:type="textWrapping"/>
              <w:t xml:space="preserve">Requirements 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Smart board or Projector</w:t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Description of </w:t>
            </w:r>
          </w:p>
          <w:p w:rsidR="00000000" w:rsidDel="00000000" w:rsidP="00000000" w:rsidRDefault="00000000" w:rsidRPr="00000000" w14:paraId="0000001B">
            <w:pPr>
              <w:spacing w:after="60" w:before="6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activity</w:t>
            </w:r>
          </w:p>
          <w:p w:rsidR="00000000" w:rsidDel="00000000" w:rsidP="00000000" w:rsidRDefault="00000000" w:rsidRPr="00000000" w14:paraId="0000001C">
            <w:pPr>
              <w:spacing w:after="60" w:before="6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240" w:before="240" w:lineRule="auto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Introduction &amp; Objectives (5 Min)</w:t>
              <w:br w:type="textWrapping"/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Introduce objectives and relevance: link to demographic shifts, labor shortages, and diversity strategies. Ask: </w:t>
            </w:r>
            <w:r w:rsidDel="00000000" w:rsidR="00000000" w:rsidRPr="00000000">
              <w:rPr>
                <w:i w:val="1"/>
                <w:iCs w:val="1"/>
                <w:sz w:val="21"/>
                <w:szCs w:val="21"/>
                <w:rtl w:val="0"/>
              </w:rPr>
              <w:t xml:space="preserve">“What HR challenges or opportunities do you see with senior workers?”” (Presentation)</w:t>
            </w:r>
          </w:p>
          <w:p w:rsidR="00000000" w:rsidDel="00000000" w:rsidP="00000000" w:rsidRDefault="00000000" w:rsidRPr="00000000" w14:paraId="0000001E">
            <w:pPr>
              <w:spacing w:after="240" w:befor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Barriers and Benefits of Senior Workers (10 Min)</w:t>
              <w:br w:type="textWrapping"/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Present Challenges and Benefits for employers and employees. Highlight value (experience, loyalty, mentoring capacity) and challenges (health, tech adaptation, bias). (Presentation)</w:t>
            </w:r>
          </w:p>
          <w:p w:rsidR="00000000" w:rsidDel="00000000" w:rsidP="00000000" w:rsidRDefault="00000000" w:rsidRPr="00000000" w14:paraId="0000001F">
            <w:pPr>
              <w:spacing w:after="240" w:befor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Key takeaways for SMEs in Europe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Age-Friendly HR Checklist for SMEs 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Best Practice Case studies (10 Min)</w:t>
              <w:br w:type="textWrapping"/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Present 2–3 examples of companies with successful age-inclusive practices </w:t>
            </w:r>
          </w:p>
          <w:p w:rsidR="00000000" w:rsidDel="00000000" w:rsidP="00000000" w:rsidRDefault="00000000" w:rsidRPr="00000000" w14:paraId="00000023">
            <w:pPr>
              <w:spacing w:after="240" w:befor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– Demography-oriented work organization</w:t>
            </w:r>
          </w:p>
          <w:p w:rsidR="00000000" w:rsidDel="00000000" w:rsidP="00000000" w:rsidRDefault="00000000" w:rsidRPr="00000000" w14:paraId="00000024">
            <w:pPr>
              <w:spacing w:after="240" w:befor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– Health promotion and management</w:t>
            </w:r>
          </w:p>
          <w:p w:rsidR="00000000" w:rsidDel="00000000" w:rsidP="00000000" w:rsidRDefault="00000000" w:rsidRPr="00000000" w14:paraId="00000025">
            <w:pPr>
              <w:spacing w:after="240" w:befor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– Vocational training and lifelong learning</w:t>
            </w:r>
          </w:p>
          <w:p w:rsidR="00000000" w:rsidDel="00000000" w:rsidP="00000000" w:rsidRDefault="00000000" w:rsidRPr="00000000" w14:paraId="00000026">
            <w:pPr>
              <w:spacing w:after="240" w:befor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– Reverse mentoring and intergenerational teams</w:t>
            </w:r>
          </w:p>
          <w:p w:rsidR="00000000" w:rsidDel="00000000" w:rsidP="00000000" w:rsidRDefault="00000000" w:rsidRPr="00000000" w14:paraId="00000027">
            <w:pPr>
              <w:spacing w:after="240" w:befor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Invite short group reflections on which practices could fit their own context. (Presentation &amp; Q&amp;A)</w:t>
            </w:r>
          </w:p>
          <w:p w:rsidR="00000000" w:rsidDel="00000000" w:rsidP="00000000" w:rsidRDefault="00000000" w:rsidRPr="00000000" w14:paraId="00000028">
            <w:pPr>
              <w:spacing w:after="240" w:befor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Interactive Exercise:</w:t>
              <w:br w:type="textWrapping"/>
              <w:t xml:space="preserve"> “Designing an Age-Inclusive HR Policy” (10 Min)</w:t>
              <w:br w:type="textWrapping"/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Small groups: review a scenario (e.g., redesigning a learning &amp; development program to include senior staff). Identify concrete HR measures, incentives, and leadership supports. (Group discussion &amp; feedback)</w:t>
            </w:r>
          </w:p>
          <w:p w:rsidR="00000000" w:rsidDel="00000000" w:rsidP="00000000" w:rsidRDefault="00000000" w:rsidRPr="00000000" w14:paraId="00000029">
            <w:pPr>
              <w:spacing w:after="240" w:befor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Leadership Approaches Summary (5 Min)</w:t>
              <w:br w:type="textWrapping"/>
              <w:t xml:space="preserve">Summarize leadership styles that support senior workers: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2"/>
              </w:numPr>
              <w:spacing w:before="240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Transformational &amp; participative leadership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2"/>
              </w:numPr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Coaching &amp; mentoring cultures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2"/>
              </w:numPr>
              <w:spacing w:after="240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Inclusive communication strategies.</w:t>
            </w:r>
          </w:p>
          <w:p w:rsidR="00000000" w:rsidDel="00000000" w:rsidP="00000000" w:rsidRDefault="00000000" w:rsidRPr="00000000" w14:paraId="0000002D">
            <w:pPr>
              <w:spacing w:after="240" w:befor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Connect these to HR’s role in leader development. (Presentation)</w:t>
            </w:r>
          </w:p>
          <w:p w:rsidR="00000000" w:rsidDel="00000000" w:rsidP="00000000" w:rsidRDefault="00000000" w:rsidRPr="00000000" w14:paraId="0000002E">
            <w:pPr>
              <w:spacing w:after="240" w:befor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Reflection &amp; Takeaway</w:t>
              <w:br w:type="textWrapping"/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Roundtable question: </w:t>
            </w:r>
            <w:r w:rsidDel="00000000" w:rsidR="00000000" w:rsidRPr="00000000">
              <w:rPr>
                <w:i w:val="1"/>
                <w:iCs w:val="1"/>
                <w:sz w:val="21"/>
                <w:szCs w:val="21"/>
                <w:rtl w:val="0"/>
              </w:rPr>
              <w:t xml:space="preserve">“What’s one HR initiative you could implement in your company to leverage senior talent?”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Summarize and close. (Group reflection)</w:t>
            </w:r>
          </w:p>
          <w:p w:rsidR="00000000" w:rsidDel="00000000" w:rsidP="00000000" w:rsidRDefault="00000000" w:rsidRPr="00000000" w14:paraId="0000002F">
            <w:pPr>
              <w:spacing w:after="240" w:befor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240" w:befor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Trainer notes</w:t>
            </w:r>
          </w:p>
        </w:tc>
        <w:tc>
          <w:tcPr/>
          <w:p w:rsidR="00000000" w:rsidDel="00000000" w:rsidP="00000000" w:rsidRDefault="00000000" w:rsidRPr="00000000" w14:paraId="00000032">
            <w:pPr>
              <w:pStyle w:val="Heading3"/>
              <w:keepNext w:val="0"/>
              <w:spacing w:after="80" w:before="280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bookmarkStart w:colFirst="0" w:colLast="0" w:name="_icf4aru9mzbc" w:id="0"/>
            <w:bookmarkEnd w:id="0"/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Trainee Notes / Key Takeaways</w:t>
            </w:r>
          </w:p>
          <w:p w:rsidR="00000000" w:rsidDel="00000000" w:rsidP="00000000" w:rsidRDefault="00000000" w:rsidRPr="00000000" w14:paraId="00000033">
            <w:pPr>
              <w:spacing w:after="240" w:befor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Strategic Context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5"/>
              </w:numPr>
              <w:spacing w:before="240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The workforce is aging; leveraging senior talent is critical for business continuity and innovation.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5"/>
              </w:numPr>
              <w:spacing w:after="240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Age diversity enhances creativity, stability, and intergenerational learning.</w:t>
            </w:r>
          </w:p>
          <w:p w:rsidR="00000000" w:rsidDel="00000000" w:rsidP="00000000" w:rsidRDefault="00000000" w:rsidRPr="00000000" w14:paraId="00000036">
            <w:pPr>
              <w:spacing w:after="240" w:befor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HR Best Practices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before="240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Implement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age-neutral job descriptions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and inclusive recruitment campaigns.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Support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continuous learning and digital upskilling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for senior staff.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Offer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flexible career paths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, such as part-time options or phased retirement.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Encourage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intergenerational collaboration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through mentoring and team design.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spacing w:after="240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Monitor and counter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age bias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in promotion, evaluation, and training opportunities.</w:t>
            </w:r>
          </w:p>
          <w:p w:rsidR="00000000" w:rsidDel="00000000" w:rsidP="00000000" w:rsidRDefault="00000000" w:rsidRPr="00000000" w14:paraId="0000003C">
            <w:pPr>
              <w:spacing w:after="240" w:befor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Leadership Approaches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7"/>
              </w:numPr>
              <w:spacing w:before="240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Transformational: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Inspire and empower senior workers to contribute strategically.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7"/>
              </w:numPr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Participative: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Involve them in decision-making and knowledge sharing.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7"/>
              </w:numPr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Coaching: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Focus on individual strengths, motivation, and adaptability.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7"/>
              </w:numPr>
              <w:spacing w:after="240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HR’s role: provide frameworks, training, and incentives that help managers apply these approaches.</w:t>
              <w:br w:type="textWrapping"/>
            </w:r>
          </w:p>
          <w:p w:rsidR="00000000" w:rsidDel="00000000" w:rsidP="00000000" w:rsidRDefault="00000000" w:rsidRPr="00000000" w14:paraId="00000041">
            <w:pPr>
              <w:spacing w:after="240" w:before="24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Practical Takeaway</w:t>
            </w:r>
          </w:p>
          <w:p w:rsidR="00000000" w:rsidDel="00000000" w:rsidP="00000000" w:rsidRDefault="00000000" w:rsidRPr="00000000" w14:paraId="00000042">
            <w:pPr>
              <w:spacing w:after="240" w:before="240" w:lineRule="auto"/>
              <w:ind w:left="600" w:right="600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HR leaders play a key role in shaping an age-inclusive culture. By viewing senior workers as strategic assets rather than a “retirement risk,” organizations can strengthen engagement, knowledge transfer, and overall performance.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Sources/ </w:t>
              <w:br w:type="textWrapping"/>
              <w:t xml:space="preserve">Further Reading </w:t>
            </w:r>
          </w:p>
        </w:tc>
        <w:tc>
          <w:tcPr/>
          <w:p w:rsidR="00000000" w:rsidDel="00000000" w:rsidP="00000000" w:rsidRDefault="00000000" w:rsidRPr="00000000" w14:paraId="00000044">
            <w:pPr>
              <w:numPr>
                <w:ilvl w:val="0"/>
                <w:numId w:val="8"/>
              </w:numPr>
              <w:ind w:left="720" w:hanging="360"/>
              <w:rPr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Europe must adapt to its ageing workforce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8"/>
              </w:numPr>
              <w:shd w:fill="ffffff" w:val="clear"/>
              <w:spacing w:after="180" w:lineRule="auto"/>
              <w:ind w:left="720" w:hanging="360"/>
              <w:rPr>
                <w:color w:val="0a0a0a"/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color w:val="1a0dab"/>
                  <w:sz w:val="20"/>
                  <w:szCs w:val="20"/>
                  <w:u w:val="single"/>
                  <w:rtl w:val="0"/>
                </w:rPr>
                <w:t xml:space="preserve">OECD Employment Outlook 2025</w:t>
              </w:r>
            </w:hyperlink>
            <w:r w:rsidDel="00000000" w:rsidR="00000000" w:rsidRPr="00000000">
              <w:rPr>
                <w:b w:val="1"/>
                <w:bCs w:val="1"/>
                <w:color w:val="0a0a0a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color w:val="0a0a0a"/>
                <w:sz w:val="20"/>
                <w:szCs w:val="20"/>
                <w:rtl w:val="0"/>
              </w:rPr>
              <w:t xml:space="preserve"> A major report titled "Navigating the Golden Years" analyzes how to improve the employability of older workers and reduce </w:t>
            </w:r>
            <w:r w:rsidDel="00000000" w:rsidR="00000000" w:rsidRPr="00000000">
              <w:rPr>
                <w:b w:val="1"/>
                <w:bCs w:val="1"/>
                <w:color w:val="0a0a0a"/>
                <w:sz w:val="20"/>
                <w:szCs w:val="20"/>
                <w:rtl w:val="0"/>
              </w:rPr>
              <w:t xml:space="preserve">labour market rigidities</w:t>
            </w:r>
            <w:r w:rsidDel="00000000" w:rsidR="00000000" w:rsidRPr="00000000">
              <w:rPr>
                <w:color w:val="0a0a0a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8"/>
              </w:numPr>
              <w:shd w:fill="ffffff" w:val="clear"/>
              <w:spacing w:after="180" w:lineRule="auto"/>
              <w:ind w:left="720" w:hanging="360"/>
              <w:rPr>
                <w:color w:val="0a0a0a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a0a0a"/>
                <w:sz w:val="20"/>
                <w:szCs w:val="20"/>
                <w:rtl w:val="0"/>
              </w:rPr>
              <w:t xml:space="preserve">Technological Integration:</w:t>
            </w:r>
            <w:r w:rsidDel="00000000" w:rsidR="00000000" w:rsidRPr="00000000">
              <w:rPr>
                <w:color w:val="0a0a0a"/>
                <w:sz w:val="20"/>
                <w:szCs w:val="20"/>
                <w:rtl w:val="0"/>
              </w:rPr>
              <w:t xml:space="preserve"> Research on how older workers adapt to </w:t>
            </w:r>
            <w:r w:rsidDel="00000000" w:rsidR="00000000" w:rsidRPr="00000000">
              <w:rPr>
                <w:b w:val="1"/>
                <w:bCs w:val="1"/>
                <w:color w:val="0a0a0a"/>
                <w:sz w:val="20"/>
                <w:szCs w:val="20"/>
                <w:rtl w:val="0"/>
              </w:rPr>
              <w:t xml:space="preserve">digital tools</w:t>
            </w:r>
            <w:r w:rsidDel="00000000" w:rsidR="00000000" w:rsidRPr="00000000">
              <w:rPr>
                <w:color w:val="0a0a0a"/>
                <w:sz w:val="20"/>
                <w:szCs w:val="20"/>
                <w:rtl w:val="0"/>
              </w:rPr>
              <w:t xml:space="preserve"> and "cobots" is detailed in the </w:t>
            </w:r>
            <w:hyperlink r:id="rId8">
              <w:r w:rsidDel="00000000" w:rsidR="00000000" w:rsidRPr="00000000">
                <w:rPr>
                  <w:color w:val="1a0dab"/>
                  <w:sz w:val="20"/>
                  <w:szCs w:val="20"/>
                  <w:u w:val="single"/>
                  <w:rtl w:val="0"/>
                </w:rPr>
                <w:t xml:space="preserve">"Roadmap for Managing an Ageing Workforce"</w:t>
              </w:r>
            </w:hyperlink>
            <w:r w:rsidDel="00000000" w:rsidR="00000000" w:rsidRPr="00000000">
              <w:rPr>
                <w:color w:val="0a0a0a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8"/>
              </w:numPr>
              <w:shd w:fill="ffffff" w:val="clear"/>
              <w:spacing w:after="180" w:lineRule="auto"/>
              <w:ind w:left="720" w:hanging="360"/>
              <w:rPr>
                <w:color w:val="0a0a0a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a0a0a"/>
                <w:sz w:val="20"/>
                <w:szCs w:val="20"/>
                <w:rtl w:val="0"/>
              </w:rPr>
              <w:t xml:space="preserve">Policy Solutions:</w:t>
            </w:r>
            <w:r w:rsidDel="00000000" w:rsidR="00000000" w:rsidRPr="00000000">
              <w:rPr>
                <w:color w:val="0a0a0a"/>
                <w:sz w:val="20"/>
                <w:szCs w:val="20"/>
                <w:rtl w:val="0"/>
              </w:rPr>
              <w:t xml:space="preserve"> The EU's </w:t>
            </w:r>
            <w:hyperlink r:id="rId9">
              <w:r w:rsidDel="00000000" w:rsidR="00000000" w:rsidRPr="00000000">
                <w:rPr>
                  <w:color w:val="1a0dab"/>
                  <w:sz w:val="20"/>
                  <w:szCs w:val="20"/>
                  <w:u w:val="single"/>
                  <w:rtl w:val="0"/>
                </w:rPr>
                <w:t xml:space="preserve">Demography Toolbox</w:t>
              </w:r>
            </w:hyperlink>
            <w:r w:rsidDel="00000000" w:rsidR="00000000" w:rsidRPr="00000000">
              <w:rPr>
                <w:color w:val="0a0a0a"/>
                <w:sz w:val="20"/>
                <w:szCs w:val="20"/>
                <w:rtl w:val="0"/>
              </w:rPr>
              <w:t xml:space="preserve"> and the </w:t>
            </w:r>
            <w:r w:rsidDel="00000000" w:rsidR="00000000" w:rsidRPr="00000000">
              <w:rPr>
                <w:b w:val="1"/>
                <w:bCs w:val="1"/>
                <w:color w:val="0a0a0a"/>
                <w:sz w:val="20"/>
                <w:szCs w:val="20"/>
                <w:rtl w:val="0"/>
              </w:rPr>
              <w:t xml:space="preserve">Union of Skills</w:t>
            </w:r>
            <w:r w:rsidDel="00000000" w:rsidR="00000000" w:rsidRPr="00000000">
              <w:rPr>
                <w:color w:val="0a0a0a"/>
                <w:sz w:val="20"/>
                <w:szCs w:val="20"/>
                <w:rtl w:val="0"/>
              </w:rPr>
              <w:t xml:space="preserve"> (launched 2025) focus on </w:t>
            </w:r>
            <w:r w:rsidDel="00000000" w:rsidR="00000000" w:rsidRPr="00000000">
              <w:rPr>
                <w:b w:val="1"/>
                <w:bCs w:val="1"/>
                <w:color w:val="0a0a0a"/>
                <w:sz w:val="20"/>
                <w:szCs w:val="20"/>
                <w:rtl w:val="0"/>
              </w:rPr>
              <w:t xml:space="preserve">lifelong learning</w:t>
            </w:r>
            <w:r w:rsidDel="00000000" w:rsidR="00000000" w:rsidRPr="00000000">
              <w:rPr>
                <w:color w:val="0a0a0a"/>
                <w:sz w:val="20"/>
                <w:szCs w:val="20"/>
                <w:rtl w:val="0"/>
              </w:rPr>
              <w:t xml:space="preserve"> and flexible retirement pathways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8"/>
              </w:numPr>
              <w:ind w:left="720" w:hanging="360"/>
              <w:rPr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Keeping older workers in the labour force” – Eurofound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8"/>
              </w:numPr>
              <w:ind w:left="720" w:hanging="360"/>
              <w:rPr>
                <w:sz w:val="20"/>
                <w:szCs w:val="20"/>
              </w:rPr>
            </w:pPr>
            <w:hyperlink r:id="rId11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EU-Labour Market Statistics – Eurostat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8"/>
              </w:numPr>
              <w:ind w:left="720" w:hanging="360"/>
              <w:rPr>
                <w:sz w:val="20"/>
                <w:szCs w:val="20"/>
              </w:rPr>
            </w:pPr>
            <w:hyperlink r:id="rId12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The rise of elderly workers: The Europeans defying retirement norms and working past the age of 70” – Euronews / reporting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8"/>
              </w:numPr>
              <w:ind w:left="720" w:hanging="360"/>
              <w:rPr>
                <w:b w:val="1"/>
                <w:bCs w:val="1"/>
                <w:sz w:val="21"/>
                <w:szCs w:val="21"/>
              </w:rPr>
            </w:pPr>
            <w:hyperlink r:id="rId13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Initiative „Ältere und Arbeitswelt“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File name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1"/>
                <w:szCs w:val="21"/>
                <w:rtl w:val="0"/>
              </w:rPr>
              <w:t xml:space="preserve">Day2_Unit11_General_Senior_Workers_ppt</w:t>
              <w:br w:type="textWrapping"/>
              <w:t xml:space="preserve">Day2_Unit11_General_Senior_Workers_pdf</w:t>
              <w:br w:type="textWrapping"/>
              <w:t xml:space="preserve">Day2_Unit11_General_Senior_Workers_Checklist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footerReference r:id="rId16" w:type="first"/>
      <w:pgSz w:h="16837" w:w="11905" w:orient="portrait"/>
      <w:pgMar w:bottom="851" w:top="1276" w:left="1134" w:right="1134" w:header="851" w:footer="32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pBdr>
        <w:top w:color="e7e6e6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1520828</wp:posOffset>
              </wp:positionH>
              <wp:positionV relativeFrom="paragraph">
                <wp:posOffset>-20945</wp:posOffset>
              </wp:positionV>
              <wp:extent cx="4704715" cy="1446041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036505" y="3077690"/>
                        <a:ext cx="461899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Project N° 2023-1-AT01-KA220-VET-000152934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1520828</wp:posOffset>
              </wp:positionH>
              <wp:positionV relativeFrom="paragraph">
                <wp:posOffset>-20945</wp:posOffset>
              </wp:positionV>
              <wp:extent cx="4704715" cy="1446041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04715" cy="144604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-5705</wp:posOffset>
          </wp:positionH>
          <wp:positionV relativeFrom="paragraph">
            <wp:posOffset>113662</wp:posOffset>
          </wp:positionV>
          <wp:extent cx="1466850" cy="309380"/>
          <wp:effectExtent b="0" l="0" r="0" t="0"/>
          <wp:wrapNone/>
          <wp:docPr id="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66850" cy="3093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328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tabs>
        <w:tab w:val="center" w:leader="none" w:pos="4536"/>
        <w:tab w:val="right" w:leader="none" w:pos="9072"/>
      </w:tabs>
      <w:rPr>
        <w:sz w:val="21"/>
        <w:szCs w:val="21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28575" cy="285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28575" cy="2857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575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-228591</wp:posOffset>
          </wp:positionH>
          <wp:positionV relativeFrom="paragraph">
            <wp:posOffset>-457189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3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480" w:lineRule="auto"/>
    </w:pPr>
    <w:rPr>
      <w:rFonts w:ascii="Arial Black" w:cs="Arial Black" w:eastAsia="Arial Black" w:hAnsi="Arial Black"/>
      <w:b w:val="1"/>
      <w:bCs w:val="1"/>
      <w:color w:val="ff9525"/>
      <w:sz w:val="32"/>
      <w:szCs w:val="32"/>
    </w:rPr>
  </w:style>
  <w:style w:type="paragraph" w:styleId="Heading2">
    <w:name w:val="heading 2"/>
    <w:basedOn w:val="Normal"/>
    <w:next w:val="Normal"/>
    <w:pPr>
      <w:tabs>
        <w:tab w:val="left" w:leader="none" w:pos="6928"/>
      </w:tabs>
      <w:spacing w:after="60" w:line="276" w:lineRule="auto"/>
      <w:jc w:val="both"/>
    </w:pPr>
    <w:rPr>
      <w:b w:val="1"/>
      <w:bCs w:val="1"/>
      <w:color w:val="da48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before="240" w:lineRule="auto"/>
    </w:pPr>
    <w:rPr>
      <w:color w:val="ffcf0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91300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estatis.de/Europa/EN/Topic/Key-indicators/LabourMarket.html?utm_source=chatgpt.com" TargetMode="External"/><Relationship Id="rId10" Type="http://schemas.openxmlformats.org/officeDocument/2006/relationships/hyperlink" Target="https://www.eurofound.europa.eu/en/publications/all/keeping-older-workers-labour-force?utm_source=chatgpt.com" TargetMode="External"/><Relationship Id="rId13" Type="http://schemas.openxmlformats.org/officeDocument/2006/relationships/hyperlink" Target="https://www.stmas.bayern.de/arbeit/aeltere-aw.php#sec1" TargetMode="External"/><Relationship Id="rId12" Type="http://schemas.openxmlformats.org/officeDocument/2006/relationships/hyperlink" Target="https://www.euronews.com/next/2023/02/22/the-rise-of-elderly-workers-who-works-beyond-the-age-of-65-or-75-in-europe?utm_source=chatgpt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eesc.europa.eu/sites/default/files/2025-11/empl_soc_817_feb_2025_final_.docx" TargetMode="External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www.eurofound.europa.eu/en/commentary-and-analysis/all-content/europe-must-adapt-its-ageing-workforce" TargetMode="External"/><Relationship Id="rId7" Type="http://schemas.openxmlformats.org/officeDocument/2006/relationships/hyperlink" Target="https://www.oecd.org/en/publications/oecd-employment-outlook-2025_194a947b-en/full-report/navigating-the-golden-years-making-the-labour-market-work-for-older-workers_2bc681ed.html" TargetMode="External"/><Relationship Id="rId8" Type="http://schemas.openxmlformats.org/officeDocument/2006/relationships/hyperlink" Target="https://open-research-europe.ec.europa.eu/articles/5-253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