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Arial" w:cs="Arial" w:eastAsia="Arial" w:hAnsi="Arial"/>
          <w:b w:val="1"/>
          <w:bCs w:val="1"/>
          <w:color w:val="ff9525"/>
          <w:sz w:val="32"/>
          <w:szCs w:val="32"/>
          <w:rtl w:val="0"/>
        </w:rPr>
        <w:t xml:space="preserve">Age-Friendly HR Checklist for SMEs (EU context)</w:t>
        <w:br w:type="textWrapp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Here is a </w:t>
      </w:r>
      <w:r w:rsidDel="00000000" w:rsidR="00000000" w:rsidRPr="00000000">
        <w:rPr>
          <w:b w:val="1"/>
          <w:bCs w:val="1"/>
          <w:rtl w:val="0"/>
        </w:rPr>
        <w:t xml:space="preserve">practical, SME-friendly checklist</w:t>
      </w:r>
      <w:r w:rsidDel="00000000" w:rsidR="00000000" w:rsidRPr="00000000">
        <w:rPr>
          <w:rtl w:val="0"/>
        </w:rPr>
        <w:t xml:space="preserve"> you can use to implement </w:t>
      </w:r>
      <w:r w:rsidDel="00000000" w:rsidR="00000000" w:rsidRPr="00000000">
        <w:rPr>
          <w:b w:val="1"/>
          <w:bCs w:val="1"/>
          <w:rtl w:val="0"/>
        </w:rPr>
        <w:t xml:space="preserve">age-friendly HR practices</w:t>
      </w:r>
      <w:r w:rsidDel="00000000" w:rsidR="00000000" w:rsidRPr="00000000">
        <w:rPr>
          <w:rtl w:val="0"/>
        </w:rPr>
        <w:t xml:space="preserve"> that help tap senior workers’ potential and reduce skills shortages in Europe.</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1️</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Leadership &amp; Culture</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Explicitly value </w:t>
      </w:r>
      <w:r w:rsidDel="00000000" w:rsidR="00000000" w:rsidRPr="00000000">
        <w:rPr>
          <w:b w:val="1"/>
          <w:bCs w:val="1"/>
          <w:rtl w:val="0"/>
        </w:rPr>
        <w:t xml:space="preserve">experience and age diversity</w:t>
      </w:r>
      <w:r w:rsidDel="00000000" w:rsidR="00000000" w:rsidRPr="00000000">
        <w:rPr>
          <w:rtl w:val="0"/>
        </w:rPr>
        <w:t xml:space="preserve"> in company values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Communicate that </w:t>
      </w:r>
      <w:r w:rsidDel="00000000" w:rsidR="00000000" w:rsidRPr="00000000">
        <w:rPr>
          <w:b w:val="1"/>
          <w:bCs w:val="1"/>
          <w:rtl w:val="0"/>
        </w:rPr>
        <w:t xml:space="preserve">older workers are welcome</w:t>
      </w:r>
      <w:r w:rsidDel="00000000" w:rsidR="00000000" w:rsidRPr="00000000">
        <w:rPr>
          <w:rtl w:val="0"/>
        </w:rPr>
        <w:t xml:space="preserve"> (internally and externally)</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Train managers to avoid </w:t>
      </w:r>
      <w:r w:rsidDel="00000000" w:rsidR="00000000" w:rsidRPr="00000000">
        <w:rPr>
          <w:b w:val="1"/>
          <w:bCs w:val="1"/>
          <w:rtl w:val="0"/>
        </w:rPr>
        <w:t xml:space="preserve">age bias</w:t>
      </w:r>
      <w:r w:rsidDel="00000000" w:rsidR="00000000" w:rsidRPr="00000000">
        <w:rPr>
          <w:rtl w:val="0"/>
        </w:rPr>
        <w:t xml:space="preserve"> in hiring, task allocation, and performance reviews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Promote </w:t>
      </w:r>
      <w:r w:rsidDel="00000000" w:rsidR="00000000" w:rsidRPr="00000000">
        <w:rPr>
          <w:b w:val="1"/>
          <w:bCs w:val="1"/>
          <w:rtl w:val="0"/>
        </w:rPr>
        <w:t xml:space="preserve">intergenerational collaboration</w:t>
      </w:r>
      <w:r w:rsidDel="00000000" w:rsidR="00000000" w:rsidRPr="00000000">
        <w:rPr>
          <w:rtl w:val="0"/>
        </w:rPr>
        <w:t xml:space="preserve"> (mixed-age teams)</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2️</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Recruitment &amp; Hiring</w:t>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Use </w:t>
      </w:r>
      <w:r w:rsidDel="00000000" w:rsidR="00000000" w:rsidRPr="00000000">
        <w:rPr>
          <w:b w:val="1"/>
          <w:bCs w:val="1"/>
          <w:rtl w:val="0"/>
        </w:rPr>
        <w:t xml:space="preserve">age-neutral language</w:t>
      </w:r>
      <w:r w:rsidDel="00000000" w:rsidR="00000000" w:rsidRPr="00000000">
        <w:rPr>
          <w:rtl w:val="0"/>
        </w:rPr>
        <w:t xml:space="preserve"> in job ads (avoid “young”, “digital native”, “recent graduate”)</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Focus on </w:t>
      </w:r>
      <w:r w:rsidDel="00000000" w:rsidR="00000000" w:rsidRPr="00000000">
        <w:rPr>
          <w:b w:val="1"/>
          <w:bCs w:val="1"/>
          <w:rtl w:val="0"/>
        </w:rPr>
        <w:t xml:space="preserve">skills and experience</w:t>
      </w:r>
      <w:r w:rsidDel="00000000" w:rsidR="00000000" w:rsidRPr="00000000">
        <w:rPr>
          <w:rtl w:val="0"/>
        </w:rPr>
        <w:t xml:space="preserve">, not age or years since graduation</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w:t>
      </w:r>
      <w:r w:rsidDel="00000000" w:rsidR="00000000" w:rsidRPr="00000000">
        <w:rPr>
          <w:b w:val="1"/>
          <w:bCs w:val="1"/>
          <w:rtl w:val="0"/>
        </w:rPr>
        <w:t xml:space="preserve">part-time, project-based or consultancy contracts</w:t>
      </w:r>
      <w:r w:rsidDel="00000000" w:rsidR="00000000" w:rsidRPr="00000000">
        <w:rPr>
          <w:rtl w:val="0"/>
        </w:rPr>
        <w:t xml:space="preserve"> suitable for senior workers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Consider rehiring </w:t>
      </w:r>
      <w:r w:rsidDel="00000000" w:rsidR="00000000" w:rsidRPr="00000000">
        <w:rPr>
          <w:b w:val="1"/>
          <w:bCs w:val="1"/>
          <w:rtl w:val="0"/>
        </w:rPr>
        <w:t xml:space="preserve">retirees or former employees</w:t>
      </w:r>
      <w:r w:rsidDel="00000000" w:rsidR="00000000" w:rsidRPr="00000000">
        <w:rPr>
          <w:rtl w:val="0"/>
        </w:rPr>
        <w:t xml:space="preserve"> (“boomerang hires”)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Partner with local employment services or chambers that work with 50+ candidates</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3️</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Flexible Work &amp; Job Design</w:t>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w:t>
      </w:r>
      <w:r w:rsidDel="00000000" w:rsidR="00000000" w:rsidRPr="00000000">
        <w:rPr>
          <w:b w:val="1"/>
          <w:bCs w:val="1"/>
          <w:rtl w:val="0"/>
        </w:rPr>
        <w:t xml:space="preserve">flexible working hours</w:t>
      </w:r>
      <w:r w:rsidDel="00000000" w:rsidR="00000000" w:rsidRPr="00000000">
        <w:rPr>
          <w:rtl w:val="0"/>
        </w:rPr>
        <w:t xml:space="preserve"> or reduced hours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Enable </w:t>
      </w:r>
      <w:r w:rsidDel="00000000" w:rsidR="00000000" w:rsidRPr="00000000">
        <w:rPr>
          <w:b w:val="1"/>
          <w:bCs w:val="1"/>
          <w:rtl w:val="0"/>
        </w:rPr>
        <w:t xml:space="preserve">phased retirement</w:t>
      </w:r>
      <w:r w:rsidDel="00000000" w:rsidR="00000000" w:rsidRPr="00000000">
        <w:rPr>
          <w:rtl w:val="0"/>
        </w:rPr>
        <w:t xml:space="preserve"> instead of abrupt exit</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Allow </w:t>
      </w:r>
      <w:r w:rsidDel="00000000" w:rsidR="00000000" w:rsidRPr="00000000">
        <w:rPr>
          <w:b w:val="1"/>
          <w:bCs w:val="1"/>
          <w:rtl w:val="0"/>
        </w:rPr>
        <w:t xml:space="preserve">remote or hybrid work</w:t>
      </w:r>
      <w:r w:rsidDel="00000000" w:rsidR="00000000" w:rsidRPr="00000000">
        <w:rPr>
          <w:rtl w:val="0"/>
        </w:rPr>
        <w:t xml:space="preserve"> where possible</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Redesign physically demanding tasks (job rotation, assistive tools)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Use seniors for </w:t>
      </w:r>
      <w:r w:rsidDel="00000000" w:rsidR="00000000" w:rsidRPr="00000000">
        <w:rPr>
          <w:b w:val="1"/>
          <w:bCs w:val="1"/>
          <w:rtl w:val="0"/>
        </w:rPr>
        <w:t xml:space="preserve">quality control, customer relations, mentoring or advisory roles</w:t>
      </w:r>
      <w:r w:rsidDel="00000000" w:rsidR="00000000" w:rsidRPr="00000000">
        <w:rPr>
          <w:rtl w:val="0"/>
        </w:rPr>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4️</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Lifelong Learning &amp; Skills Development</w:t>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Ensure </w:t>
      </w:r>
      <w:r w:rsidDel="00000000" w:rsidR="00000000" w:rsidRPr="00000000">
        <w:rPr>
          <w:b w:val="1"/>
          <w:bCs w:val="1"/>
          <w:rtl w:val="0"/>
        </w:rPr>
        <w:t xml:space="preserve">equal access to training</w:t>
      </w:r>
      <w:r w:rsidDel="00000000" w:rsidR="00000000" w:rsidRPr="00000000">
        <w:rPr>
          <w:rtl w:val="0"/>
        </w:rPr>
        <w:t xml:space="preserve"> regardless of age</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w:t>
      </w:r>
      <w:r w:rsidDel="00000000" w:rsidR="00000000" w:rsidRPr="00000000">
        <w:rPr>
          <w:b w:val="1"/>
          <w:bCs w:val="1"/>
          <w:rtl w:val="0"/>
        </w:rPr>
        <w:t xml:space="preserve">short, practical, modular training</w:t>
      </w:r>
      <w:r w:rsidDel="00000000" w:rsidR="00000000" w:rsidRPr="00000000">
        <w:rPr>
          <w:rtl w:val="0"/>
        </w:rPr>
        <w:t xml:space="preserve"> (especially for digital skills)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Provide </w:t>
      </w:r>
      <w:r w:rsidDel="00000000" w:rsidR="00000000" w:rsidRPr="00000000">
        <w:rPr>
          <w:b w:val="1"/>
          <w:bCs w:val="1"/>
          <w:rtl w:val="0"/>
        </w:rPr>
        <w:t xml:space="preserve">on-the-job learning</w:t>
      </w:r>
      <w:r w:rsidDel="00000000" w:rsidR="00000000" w:rsidRPr="00000000">
        <w:rPr>
          <w:rtl w:val="0"/>
        </w:rPr>
        <w:t xml:space="preserve"> instead of classroom-only formats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Pair digital upskilling with </w:t>
      </w:r>
      <w:r w:rsidDel="00000000" w:rsidR="00000000" w:rsidRPr="00000000">
        <w:rPr>
          <w:b w:val="1"/>
          <w:bCs w:val="1"/>
          <w:rtl w:val="0"/>
        </w:rPr>
        <w:t xml:space="preserve">peer or reverse mentoring</w:t>
      </w:r>
      <w:r w:rsidDel="00000000" w:rsidR="00000000" w:rsidRPr="00000000">
        <w:rPr>
          <w:rtl w:val="0"/>
        </w:rPr>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Recognise prior learning and informal experience</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5️</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Knowledge Retention &amp; Transfer</w:t>
      </w:r>
    </w:p>
    <w:p w:rsidR="00000000" w:rsidDel="00000000" w:rsidP="00000000" w:rsidRDefault="00000000" w:rsidRPr="00000000" w14:paraId="00000015">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Identify </w:t>
      </w:r>
      <w:r w:rsidDel="00000000" w:rsidR="00000000" w:rsidRPr="00000000">
        <w:rPr>
          <w:b w:val="1"/>
          <w:bCs w:val="1"/>
          <w:rtl w:val="0"/>
        </w:rPr>
        <w:t xml:space="preserve">critical knowledge held by senior staff</w:t>
      </w:r>
      <w:r w:rsidDel="00000000" w:rsidR="00000000" w:rsidRPr="00000000">
        <w:rPr>
          <w:rtl w:val="0"/>
        </w:rPr>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Set up </w:t>
      </w:r>
      <w:r w:rsidDel="00000000" w:rsidR="00000000" w:rsidRPr="00000000">
        <w:rPr>
          <w:b w:val="1"/>
          <w:bCs w:val="1"/>
          <w:rtl w:val="0"/>
        </w:rPr>
        <w:t xml:space="preserve">mentoring or coaching roles</w:t>
      </w:r>
      <w:r w:rsidDel="00000000" w:rsidR="00000000" w:rsidRPr="00000000">
        <w:rPr>
          <w:rtl w:val="0"/>
        </w:rPr>
        <w:t xml:space="preserve"> for older workers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Document processes, client knowledge, and tacit know-how</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Encourage job shadowing and intergenerational teamwork</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Reward knowledge sharing in performance reviews</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6️</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Health, Well-being &amp; Work Ability</w:t>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Adapt workplaces ergonomically (lighting, seating, tools)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Allow flexibility for </w:t>
      </w:r>
      <w:r w:rsidDel="00000000" w:rsidR="00000000" w:rsidRPr="00000000">
        <w:rPr>
          <w:b w:val="1"/>
          <w:bCs w:val="1"/>
          <w:rtl w:val="0"/>
        </w:rPr>
        <w:t xml:space="preserve">health needs or caregiving responsibilities</w:t>
      </w:r>
      <w:r w:rsidDel="00000000" w:rsidR="00000000" w:rsidRPr="00000000">
        <w:rPr>
          <w:rtl w:val="0"/>
        </w:rPr>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Promote preventive health measures (breaks, workload management)</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Monitor workload to avoid burnout</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Foster a culture where employees can discuss work ability openly</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7️</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Performance Management &amp; Careers</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Shift focus from career “climbing” to </w:t>
      </w:r>
      <w:r w:rsidDel="00000000" w:rsidR="00000000" w:rsidRPr="00000000">
        <w:rPr>
          <w:b w:val="1"/>
          <w:bCs w:val="1"/>
          <w:rtl w:val="0"/>
        </w:rPr>
        <w:t xml:space="preserve">career sustainability</w:t>
      </w:r>
      <w:r w:rsidDel="00000000" w:rsidR="00000000" w:rsidRPr="00000000">
        <w:rPr>
          <w:rtl w:val="0"/>
        </w:rPr>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lateral moves or expert tracks instead of only promotions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Adapt performance goals to changing capacities and strengths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Use regular dialogue instead of age-linked assumptions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Support longer working lives by adjusting roles over time</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8️</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Pay, Incentives &amp; Contracts</w:t>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w:t>
      </w:r>
      <w:r w:rsidDel="00000000" w:rsidR="00000000" w:rsidRPr="00000000">
        <w:rPr>
          <w:b w:val="1"/>
          <w:bCs w:val="1"/>
          <w:rtl w:val="0"/>
        </w:rPr>
        <w:t xml:space="preserve">flexible pay models</w:t>
      </w:r>
      <w:r w:rsidDel="00000000" w:rsidR="00000000" w:rsidRPr="00000000">
        <w:rPr>
          <w:rtl w:val="0"/>
        </w:rPr>
        <w:t xml:space="preserve"> (hourly, project-based, advisory fees)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Explore national or EU </w:t>
      </w:r>
      <w:r w:rsidDel="00000000" w:rsidR="00000000" w:rsidRPr="00000000">
        <w:rPr>
          <w:b w:val="1"/>
          <w:bCs w:val="1"/>
          <w:rtl w:val="0"/>
        </w:rPr>
        <w:t xml:space="preserve">wage subsidies or tax incentives</w:t>
      </w:r>
      <w:r w:rsidDel="00000000" w:rsidR="00000000" w:rsidRPr="00000000">
        <w:rPr>
          <w:rtl w:val="0"/>
        </w:rPr>
        <w:t xml:space="preserve"> for hiring/retaining older workers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Use fixed-term or part-time contracts to reduce SME risk</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Ensure pay reflects </w:t>
      </w:r>
      <w:r w:rsidDel="00000000" w:rsidR="00000000" w:rsidRPr="00000000">
        <w:rPr>
          <w:b w:val="1"/>
          <w:bCs w:val="1"/>
          <w:rtl w:val="0"/>
        </w:rPr>
        <w:t xml:space="preserve">value and contribution</w:t>
      </w:r>
      <w:r w:rsidDel="00000000" w:rsidR="00000000" w:rsidRPr="00000000">
        <w:rPr>
          <w:rtl w:val="0"/>
        </w:rPr>
        <w:t xml:space="preserve">, not age alone</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9️</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Exit &amp; Retention Strategy</w:t>
      </w:r>
    </w:p>
    <w:p w:rsidR="00000000" w:rsidDel="00000000" w:rsidP="00000000" w:rsidRDefault="00000000" w:rsidRPr="00000000" w14:paraId="00000021">
      <w:pPr>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Conduct </w:t>
      </w:r>
      <w:r w:rsidDel="00000000" w:rsidR="00000000" w:rsidRPr="00000000">
        <w:rPr>
          <w:b w:val="1"/>
          <w:bCs w:val="1"/>
          <w:rtl w:val="0"/>
        </w:rPr>
        <w:t xml:space="preserve">stay interviews</w:t>
      </w:r>
      <w:r w:rsidDel="00000000" w:rsidR="00000000" w:rsidRPr="00000000">
        <w:rPr>
          <w:rtl w:val="0"/>
        </w:rPr>
        <w:t xml:space="preserve"> with older employees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Discuss retirement plans </w:t>
      </w:r>
      <w:r w:rsidDel="00000000" w:rsidR="00000000" w:rsidRPr="00000000">
        <w:rPr>
          <w:b w:val="1"/>
          <w:bCs w:val="1"/>
          <w:rtl w:val="0"/>
        </w:rPr>
        <w:t xml:space="preserve">early and voluntarily</w:t>
      </w:r>
      <w:r w:rsidDel="00000000" w:rsidR="00000000" w:rsidRPr="00000000">
        <w:rPr>
          <w:rtl w:val="0"/>
        </w:rPr>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Offer post-retirement engagement (mentoring, consulting, seasonal work)</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Treat retirement as a </w:t>
      </w:r>
      <w:r w:rsidDel="00000000" w:rsidR="00000000" w:rsidRPr="00000000">
        <w:rPr>
          <w:b w:val="1"/>
          <w:bCs w:val="1"/>
          <w:rtl w:val="0"/>
        </w:rPr>
        <w:t xml:space="preserve">transition</w:t>
      </w:r>
      <w:r w:rsidDel="00000000" w:rsidR="00000000" w:rsidRPr="00000000">
        <w:rPr>
          <w:rtl w:val="0"/>
        </w:rPr>
        <w:t xml:space="preserve">, not a loss</w:t>
        <w:br w:type="textWrapping"/>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Maintain alumni networks of former employees</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sectPr>
      <w:headerReference r:id="rId6" w:type="default"/>
      <w:footerReference r:id="rId7" w:type="default"/>
      <w:pgSz w:h="16838" w:w="11906" w:orient="portrait"/>
      <w:pgMar w:bottom="1134" w:top="1702"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1082863</wp:posOffset>
              </wp:positionH>
              <wp:positionV relativeFrom="paragraph">
                <wp:posOffset>-56830</wp:posOffset>
              </wp:positionV>
              <wp:extent cx="5162711" cy="520969"/>
              <wp:effectExtent b="0" l="0" r="0" t="0"/>
              <wp:wrapNone/>
              <wp:docPr id="1" name=""/>
              <a:graphic>
                <a:graphicData uri="http://schemas.microsoft.com/office/word/2010/wordprocessingShape">
                  <wps:wsp>
                    <wps:cNvSpPr/>
                    <wps:cNvPr id="2" name="Shape 2"/>
                    <wps:spPr>
                      <a:xfrm>
                        <a:off x="2769407" y="3524278"/>
                        <a:ext cx="5153186" cy="511444"/>
                      </a:xfrm>
                      <a:prstGeom prst="rect">
                        <a:avLst/>
                      </a:prstGeom>
                      <a:noFill/>
                      <a:ln>
                        <a:noFill/>
                      </a:ln>
                    </wps:spPr>
                    <wps:txbx>
                      <w:txbxContent>
                        <w:p w:rsidR="00000000" w:rsidDel="00000000" w:rsidP="00000000" w:rsidRDefault="00000000" w:rsidRPr="00000000">
                          <w:pPr>
                            <w:spacing w:after="16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t xml:space="preserve">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1082863</wp:posOffset>
              </wp:positionH>
              <wp:positionV relativeFrom="paragraph">
                <wp:posOffset>-56830</wp:posOffset>
              </wp:positionV>
              <wp:extent cx="5162711" cy="520969"/>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162711" cy="520969"/>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-365103</wp:posOffset>
          </wp:positionH>
          <wp:positionV relativeFrom="paragraph">
            <wp:posOffset>23700</wp:posOffset>
          </wp:positionV>
          <wp:extent cx="1410346" cy="295843"/>
          <wp:effectExtent b="0" l="0" r="0" t="0"/>
          <wp:wrapNone/>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410346" cy="29584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-597265</wp:posOffset>
          </wp:positionH>
          <wp:positionV relativeFrom="paragraph">
            <wp:posOffset>-278764</wp:posOffset>
          </wp:positionV>
          <wp:extent cx="1597032" cy="604434"/>
          <wp:effectExtent b="0" l="0" r="0" t="0"/>
          <wp:wrapNone/>
          <wp:docPr id="4" name="image1.png"/>
          <a:graphic>
            <a:graphicData uri="http://schemas.openxmlformats.org/drawingml/2006/picture">
              <pic:pic>
                <pic:nvPicPr>
                  <pic:cNvPr id="0" name="image1.png"/>
                  <pic:cNvPicPr preferRelativeResize="0"/>
                </pic:nvPicPr>
                <pic:blipFill>
                  <a:blip r:embed="rId1"/>
                  <a:srcRect b="30318" l="0" r="0" t="0"/>
                  <a:stretch>
                    <a:fillRect/>
                  </a:stretch>
                </pic:blipFill>
                <pic:spPr>
                  <a:xfrm>
                    <a:off x="0" y="0"/>
                    <a:ext cx="1597032" cy="60443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-357352</wp:posOffset>
              </wp:positionH>
              <wp:positionV relativeFrom="paragraph">
                <wp:posOffset>334296</wp:posOffset>
              </wp:positionV>
              <wp:extent cx="6145078" cy="28575"/>
              <wp:effectExtent b="0" l="0" r="0" t="0"/>
              <wp:wrapNone/>
              <wp:docPr id="2" name=""/>
              <a:graphic>
                <a:graphicData uri="http://schemas.microsoft.com/office/word/2010/wordprocessingShape">
                  <wps:wsp>
                    <wps:cNvCnPr/>
                    <wps:spPr>
                      <a:xfrm>
                        <a:off x="2273461" y="3780000"/>
                        <a:ext cx="6145078" cy="0"/>
                      </a:xfrm>
                      <a:prstGeom prst="straightConnector1">
                        <a:avLst/>
                      </a:prstGeom>
                      <a:noFill/>
                      <a:ln cap="flat" cmpd="sng" w="28575">
                        <a:solidFill>
                          <a:srgbClr val="FF9525"/>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-357352</wp:posOffset>
              </wp:positionH>
              <wp:positionV relativeFrom="paragraph">
                <wp:posOffset>334296</wp:posOffset>
              </wp:positionV>
              <wp:extent cx="6145078" cy="28575"/>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145078" cy="2857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